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6A2752C">
      <w:pPr>
        <w:jc w:val="center"/>
        <w:rPr>
          <w:rFonts w:hint="eastAsia" w:ascii="宋体" w:hAnsi="宋体" w:cs="宋体"/>
          <w:b/>
          <w:sz w:val="44"/>
          <w:szCs w:val="44"/>
          <w:lang w:eastAsia="zh-CN"/>
        </w:rPr>
      </w:pPr>
    </w:p>
    <w:p w14:paraId="360B5741">
      <w:pPr>
        <w:jc w:val="center"/>
        <w:rPr>
          <w:rFonts w:hint="eastAsia" w:ascii="宋体" w:hAnsi="宋体" w:cs="宋体"/>
          <w:b/>
          <w:sz w:val="44"/>
          <w:szCs w:val="44"/>
          <w:lang w:eastAsia="zh-CN"/>
        </w:rPr>
      </w:pPr>
    </w:p>
    <w:p w14:paraId="76D2BF50">
      <w:pPr>
        <w:jc w:val="center"/>
        <w:rPr>
          <w:rFonts w:ascii="宋体" w:hAnsi="宋体" w:cs="宋体"/>
          <w:b/>
          <w:sz w:val="56"/>
          <w:szCs w:val="72"/>
        </w:rPr>
      </w:pPr>
      <w:r>
        <w:rPr>
          <w:rFonts w:hint="eastAsia" w:ascii="宋体" w:hAnsi="宋体" w:cs="宋体"/>
          <w:b/>
          <w:sz w:val="44"/>
          <w:szCs w:val="44"/>
          <w:lang w:val="en-US" w:eastAsia="zh-CN"/>
        </w:rPr>
        <w:t>宁波产权交易中心</w:t>
      </w:r>
      <w:r>
        <w:rPr>
          <w:rFonts w:hint="eastAsia" w:ascii="宋体" w:hAnsi="宋体" w:cs="宋体"/>
          <w:b/>
          <w:sz w:val="56"/>
          <w:szCs w:val="72"/>
        </w:rPr>
        <w:t>
</w:t>
      </w:r>
    </w:p>
    <w:p w14:paraId="5176A4E0">
      <w:pPr>
        <w:pStyle w:val="19"/>
        <w:jc w:val="center"/>
        <w:rPr>
          <w:rFonts w:hint="eastAsia" w:ascii="宋体" w:hAnsi="宋体" w:cs="宋体"/>
          <w:b/>
          <w:sz w:val="56"/>
          <w:szCs w:val="72"/>
        </w:rPr>
      </w:pPr>
      <w:r>
        <w:rPr>
          <w:rFonts w:hint="eastAsia" w:ascii="宋体" w:hAnsi="宋体" w:cs="宋体"/>
          <w:b/>
          <w:sz w:val="40"/>
          <w:szCs w:val="40"/>
          <w:lang w:val="en-US" w:eastAsia="zh-CN"/>
        </w:rPr>
        <w:t>委托方用户</w:t>
      </w:r>
      <w:r>
        <w:rPr>
          <w:rFonts w:hint="eastAsia" w:ascii="宋体" w:hAnsi="宋体" w:cs="宋体"/>
          <w:b/>
          <w:sz w:val="40"/>
          <w:szCs w:val="40"/>
        </w:rPr>
        <w:t>操作手册</w:t>
      </w:r>
    </w:p>
    <w:p w14:paraId="11CBA097">
      <w:pPr>
        <w:keepNext w:val="0"/>
        <w:keepLines w:val="0"/>
        <w:widowControl/>
        <w:suppressLineNumbers w:val="0"/>
        <w:jc w:val="center"/>
        <w:rPr>
          <w:rFonts w:hint="eastAsia" w:ascii="宋体" w:hAnsi="宋体" w:cs="宋体"/>
          <w:b/>
          <w:sz w:val="56"/>
          <w:szCs w:val="72"/>
        </w:rPr>
      </w:pPr>
    </w:p>
    <w:p w14:paraId="7E4B8F7C">
      <w:pPr>
        <w:pStyle w:val="19"/>
        <w:jc w:val="center"/>
        <w:rPr>
          <w:rFonts w:ascii="宋体" w:hAnsi="宋体"/>
          <w:b/>
          <w:caps/>
          <w:sz w:val="21"/>
          <w:szCs w:val="21"/>
        </w:rPr>
      </w:pPr>
    </w:p>
    <w:p w14:paraId="025ABBF5">
      <w:pPr>
        <w:pStyle w:val="19"/>
        <w:jc w:val="center"/>
        <w:rPr>
          <w:rFonts w:ascii="宋体" w:hAnsi="宋体"/>
          <w:b/>
          <w:caps/>
          <w:sz w:val="21"/>
          <w:szCs w:val="21"/>
        </w:rPr>
      </w:pPr>
    </w:p>
    <w:p w14:paraId="3CA2F11F">
      <w:pPr>
        <w:pStyle w:val="19"/>
        <w:jc w:val="center"/>
        <w:rPr>
          <w:rFonts w:ascii="宋体" w:hAnsi="宋体"/>
          <w:b/>
          <w:caps/>
          <w:sz w:val="21"/>
          <w:szCs w:val="21"/>
        </w:rPr>
      </w:pPr>
    </w:p>
    <w:p w14:paraId="7F25BF0C">
      <w:pPr>
        <w:pStyle w:val="19"/>
        <w:jc w:val="center"/>
        <w:rPr>
          <w:rFonts w:ascii="宋体" w:hAnsi="宋体"/>
          <w:b/>
          <w:caps/>
          <w:sz w:val="21"/>
          <w:szCs w:val="21"/>
        </w:rPr>
      </w:pPr>
    </w:p>
    <w:p w14:paraId="2B9E906B">
      <w:pPr>
        <w:pStyle w:val="19"/>
        <w:jc w:val="center"/>
        <w:rPr>
          <w:rFonts w:ascii="宋体" w:hAnsi="宋体"/>
          <w:b/>
          <w:caps/>
          <w:sz w:val="21"/>
          <w:szCs w:val="21"/>
        </w:rPr>
      </w:pPr>
    </w:p>
    <w:p w14:paraId="0373383F">
      <w:pPr>
        <w:pStyle w:val="19"/>
        <w:jc w:val="center"/>
        <w:rPr>
          <w:rFonts w:ascii="宋体" w:hAnsi="宋体"/>
          <w:b/>
          <w:caps/>
          <w:sz w:val="21"/>
          <w:szCs w:val="21"/>
        </w:rPr>
      </w:pPr>
    </w:p>
    <w:p w14:paraId="378E6D9B">
      <w:pPr>
        <w:pStyle w:val="19"/>
        <w:jc w:val="center"/>
        <w:rPr>
          <w:rFonts w:ascii="宋体" w:hAnsi="宋体"/>
          <w:b/>
          <w:caps/>
          <w:sz w:val="21"/>
          <w:szCs w:val="21"/>
        </w:rPr>
      </w:pPr>
    </w:p>
    <w:p w14:paraId="01B1051C">
      <w:pPr>
        <w:pStyle w:val="19"/>
        <w:jc w:val="center"/>
        <w:rPr>
          <w:rFonts w:ascii="宋体" w:hAnsi="宋体"/>
          <w:b/>
          <w:caps/>
          <w:sz w:val="21"/>
          <w:szCs w:val="21"/>
        </w:rPr>
      </w:pPr>
    </w:p>
    <w:p w14:paraId="62DC3165">
      <w:pPr>
        <w:pStyle w:val="19"/>
        <w:jc w:val="center"/>
        <w:rPr>
          <w:rFonts w:ascii="宋体" w:hAnsi="宋体"/>
          <w:b/>
          <w:caps/>
          <w:sz w:val="21"/>
          <w:szCs w:val="21"/>
        </w:rPr>
      </w:pPr>
    </w:p>
    <w:p w14:paraId="44B9AB10">
      <w:pPr>
        <w:pStyle w:val="19"/>
        <w:jc w:val="center"/>
        <w:rPr>
          <w:rFonts w:ascii="宋体" w:hAnsi="宋体"/>
          <w:b/>
          <w:caps/>
          <w:sz w:val="21"/>
          <w:szCs w:val="21"/>
        </w:rPr>
      </w:pPr>
    </w:p>
    <w:p w14:paraId="522CF8EB">
      <w:pPr>
        <w:pStyle w:val="19"/>
        <w:jc w:val="center"/>
        <w:rPr>
          <w:rFonts w:ascii="宋体" w:hAnsi="宋体"/>
          <w:b/>
          <w:caps/>
          <w:sz w:val="21"/>
          <w:szCs w:val="21"/>
        </w:rPr>
      </w:pPr>
    </w:p>
    <w:p w14:paraId="4A83D564">
      <w:pPr>
        <w:pStyle w:val="19"/>
        <w:jc w:val="center"/>
        <w:rPr>
          <w:rFonts w:ascii="宋体" w:hAnsi="宋体"/>
          <w:b/>
          <w:caps/>
          <w:sz w:val="21"/>
          <w:szCs w:val="21"/>
        </w:rPr>
      </w:pPr>
    </w:p>
    <w:p w14:paraId="1FC2F585">
      <w:pPr>
        <w:pStyle w:val="19"/>
        <w:jc w:val="center"/>
        <w:rPr>
          <w:rFonts w:ascii="宋体" w:hAnsi="宋体"/>
          <w:b/>
          <w:caps/>
          <w:sz w:val="21"/>
          <w:szCs w:val="21"/>
        </w:rPr>
      </w:pPr>
    </w:p>
    <w:p w14:paraId="5D44E22C">
      <w:pPr>
        <w:pStyle w:val="19"/>
        <w:jc w:val="center"/>
        <w:rPr>
          <w:rFonts w:ascii="宋体" w:hAnsi="宋体"/>
          <w:b/>
          <w:caps/>
          <w:sz w:val="21"/>
          <w:szCs w:val="21"/>
        </w:rPr>
      </w:pPr>
    </w:p>
    <w:p w14:paraId="7667A9A9">
      <w:pPr>
        <w:adjustRightInd w:val="0"/>
        <w:snapToGrid w:val="0"/>
        <w:ind w:firstLine="420"/>
        <w:jc w:val="center"/>
        <w:rPr>
          <w:rFonts w:ascii="宋体" w:hAnsi="宋体"/>
          <w:color w:val="FF0000"/>
          <w:sz w:val="21"/>
          <w:szCs w:val="21"/>
        </w:rPr>
      </w:pPr>
    </w:p>
    <w:p w14:paraId="35E6CF04">
      <w:pPr>
        <w:adjustRightInd w:val="0"/>
        <w:snapToGrid w:val="0"/>
        <w:ind w:firstLine="420"/>
        <w:rPr>
          <w:rFonts w:ascii="宋体" w:hAnsi="宋体"/>
          <w:sz w:val="28"/>
          <w:szCs w:val="28"/>
        </w:rPr>
      </w:pPr>
    </w:p>
    <w:p w14:paraId="69AF6C83">
      <w:pPr>
        <w:adjustRightInd w:val="0"/>
        <w:snapToGrid w:val="0"/>
        <w:ind w:firstLine="602"/>
        <w:jc w:val="center"/>
        <w:rPr>
          <w:rFonts w:ascii="宋体" w:hAnsi="宋体"/>
          <w:b/>
          <w:bCs/>
          <w:sz w:val="28"/>
          <w:szCs w:val="28"/>
        </w:rPr>
      </w:pPr>
    </w:p>
    <w:p w14:paraId="67DF2DAA">
      <w:pPr>
        <w:jc w:val="center"/>
        <w:rPr>
          <w:rFonts w:hint="eastAsia"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20</w:t>
      </w:r>
      <w:r>
        <w:rPr>
          <w:rFonts w:hint="eastAsia" w:ascii="宋体" w:hAnsi="宋体"/>
          <w:b/>
          <w:bCs/>
          <w:sz w:val="28"/>
          <w:szCs w:val="28"/>
          <w:lang w:val="en-US" w:eastAsia="zh-CN"/>
        </w:rPr>
        <w:t>25</w:t>
      </w:r>
      <w:r>
        <w:rPr>
          <w:rFonts w:hint="eastAsia" w:ascii="宋体" w:hAnsi="宋体"/>
          <w:b/>
          <w:bCs/>
          <w:sz w:val="28"/>
          <w:szCs w:val="28"/>
        </w:rPr>
        <w:t>年</w:t>
      </w:r>
      <w:r>
        <w:rPr>
          <w:rFonts w:hint="eastAsia" w:ascii="宋体" w:hAnsi="宋体"/>
          <w:b/>
          <w:bCs/>
          <w:sz w:val="28"/>
          <w:szCs w:val="28"/>
          <w:lang w:val="en-US" w:eastAsia="zh-CN"/>
        </w:rPr>
        <w:t>06</w:t>
      </w:r>
      <w:r>
        <w:rPr>
          <w:rFonts w:hint="eastAsia" w:ascii="宋体" w:hAnsi="宋体"/>
          <w:b/>
          <w:bCs/>
          <w:sz w:val="28"/>
          <w:szCs w:val="28"/>
        </w:rPr>
        <w:t>月</w:t>
      </w:r>
    </w:p>
    <w:p w14:paraId="21946B30">
      <w:pPr>
        <w:rPr>
          <w:rFonts w:hint="eastAsia"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br w:type="page"/>
      </w:r>
    </w:p>
    <w:p w14:paraId="771E793D">
      <w:pPr>
        <w:spacing w:before="0" w:beforeLines="0" w:after="0" w:afterLines="0" w:line="240" w:lineRule="auto"/>
        <w:ind w:left="0" w:leftChars="0" w:right="0" w:rightChars="0" w:firstLine="0" w:firstLineChars="0"/>
        <w:jc w:val="center"/>
        <w:rPr>
          <w:sz w:val="30"/>
          <w:szCs w:val="30"/>
        </w:rPr>
      </w:pPr>
      <w:r>
        <w:rPr>
          <w:rFonts w:ascii="宋体" w:hAnsi="宋体" w:eastAsia="宋体"/>
          <w:b/>
          <w:bCs/>
          <w:sz w:val="30"/>
          <w:szCs w:val="30"/>
        </w:rPr>
        <w:t>目</w:t>
      </w:r>
      <w:r>
        <w:rPr>
          <w:rFonts w:hint="eastAsia" w:ascii="宋体" w:hAnsi="宋体"/>
          <w:b/>
          <w:bCs/>
          <w:sz w:val="30"/>
          <w:szCs w:val="30"/>
          <w:lang w:val="en-US" w:eastAsia="zh-CN"/>
        </w:rPr>
        <w:t xml:space="preserve"> </w:t>
      </w:r>
      <w:r>
        <w:rPr>
          <w:rFonts w:ascii="宋体" w:hAnsi="宋体" w:eastAsia="宋体"/>
          <w:b/>
          <w:bCs/>
          <w:sz w:val="30"/>
          <w:szCs w:val="30"/>
        </w:rPr>
        <w:t>录</w:t>
      </w:r>
      <w:bookmarkStart w:id="17" w:name="_GoBack"/>
      <w:bookmarkEnd w:id="17"/>
    </w:p>
    <w:p w14:paraId="30FC1FA8">
      <w:pPr>
        <w:pStyle w:val="13"/>
        <w:tabs>
          <w:tab w:val="right" w:leader="dot" w:pos="8306"/>
        </w:tabs>
      </w:pPr>
      <w:r>
        <w:rPr>
          <w:rFonts w:eastAsiaTheme="majorEastAsia"/>
          <w:sz w:val="21"/>
          <w:szCs w:val="21"/>
        </w:rPr>
        <w:fldChar w:fldCharType="begin"/>
      </w:r>
      <w:r>
        <w:rPr>
          <w:rFonts w:eastAsiaTheme="majorEastAsia"/>
          <w:sz w:val="21"/>
          <w:szCs w:val="21"/>
        </w:rPr>
        <w:instrText xml:space="preserve">TOC \o "1-2" \h \u </w:instrText>
      </w:r>
      <w:r>
        <w:rPr>
          <w:rFonts w:eastAsiaTheme="majorEastAsia"/>
          <w:sz w:val="21"/>
          <w:szCs w:val="21"/>
        </w:rPr>
        <w:fldChar w:fldCharType="separate"/>
      </w:r>
      <w:r>
        <w:rPr>
          <w:rFonts w:eastAsiaTheme="majorEastAsia"/>
          <w:szCs w:val="21"/>
        </w:rPr>
        <w:fldChar w:fldCharType="begin"/>
      </w:r>
      <w:r>
        <w:rPr>
          <w:rFonts w:eastAsiaTheme="majorEastAsia"/>
          <w:szCs w:val="21"/>
        </w:rPr>
        <w:instrText xml:space="preserve"> HYPERLINK \l _Toc6279 </w:instrText>
      </w:r>
      <w:r>
        <w:rPr>
          <w:rFonts w:eastAsiaTheme="majorEastAsia"/>
          <w:szCs w:val="21"/>
        </w:rPr>
        <w:fldChar w:fldCharType="separate"/>
      </w:r>
      <w:r>
        <w:rPr>
          <w:rFonts w:hint="default"/>
          <w:lang w:val="en-US" w:eastAsia="zh-CN"/>
        </w:rPr>
        <w:t xml:space="preserve">1. </w:t>
      </w:r>
      <w:r>
        <w:rPr>
          <w:rFonts w:hint="eastAsia"/>
          <w:lang w:val="en-US" w:eastAsia="zh-CN"/>
        </w:rPr>
        <w:t>申请成为委托方</w:t>
      </w:r>
      <w:r>
        <w:tab/>
      </w:r>
      <w:r>
        <w:fldChar w:fldCharType="begin"/>
      </w:r>
      <w:r>
        <w:instrText xml:space="preserve"> PAGEREF _Toc6279 \h </w:instrText>
      </w:r>
      <w:r>
        <w:fldChar w:fldCharType="separate"/>
      </w:r>
      <w:r>
        <w:t>3</w:t>
      </w:r>
      <w:r>
        <w:fldChar w:fldCharType="end"/>
      </w:r>
      <w:r>
        <w:rPr>
          <w:rFonts w:eastAsiaTheme="majorEastAsia"/>
          <w:szCs w:val="21"/>
        </w:rPr>
        <w:fldChar w:fldCharType="end"/>
      </w:r>
    </w:p>
    <w:p w14:paraId="6FAC35F3">
      <w:pPr>
        <w:pStyle w:val="14"/>
        <w:tabs>
          <w:tab w:val="right" w:leader="dot" w:pos="8306"/>
        </w:tabs>
      </w:pPr>
      <w:r>
        <w:rPr>
          <w:rFonts w:eastAsiaTheme="majorEastAsia"/>
          <w:szCs w:val="21"/>
        </w:rPr>
        <w:fldChar w:fldCharType="begin"/>
      </w:r>
      <w:r>
        <w:rPr>
          <w:rFonts w:eastAsiaTheme="majorEastAsia"/>
          <w:szCs w:val="21"/>
        </w:rPr>
        <w:instrText xml:space="preserve"> HYPERLINK \l _Toc19265 </w:instrText>
      </w:r>
      <w:r>
        <w:rPr>
          <w:rFonts w:eastAsiaTheme="majorEastAsia"/>
          <w:szCs w:val="21"/>
        </w:rPr>
        <w:fldChar w:fldCharType="separate"/>
      </w:r>
      <w:r>
        <w:rPr>
          <w:rFonts w:hint="default"/>
          <w:lang w:val="en-US" w:eastAsia="zh-CN"/>
        </w:rPr>
        <w:t xml:space="preserve">1.1. </w:t>
      </w:r>
      <w:r>
        <w:rPr>
          <w:rFonts w:hint="eastAsia"/>
          <w:lang w:val="en-US" w:eastAsia="zh-CN"/>
        </w:rPr>
        <w:t>委托方注册</w:t>
      </w:r>
      <w:r>
        <w:tab/>
      </w:r>
      <w:r>
        <w:fldChar w:fldCharType="begin"/>
      </w:r>
      <w:r>
        <w:instrText xml:space="preserve"> PAGEREF _Toc19265 \h </w:instrText>
      </w:r>
      <w:r>
        <w:fldChar w:fldCharType="separate"/>
      </w:r>
      <w:r>
        <w:t>3</w:t>
      </w:r>
      <w:r>
        <w:fldChar w:fldCharType="end"/>
      </w:r>
      <w:r>
        <w:rPr>
          <w:rFonts w:eastAsiaTheme="majorEastAsia"/>
          <w:szCs w:val="21"/>
        </w:rPr>
        <w:fldChar w:fldCharType="end"/>
      </w:r>
    </w:p>
    <w:p w14:paraId="3EF0F688">
      <w:pPr>
        <w:pStyle w:val="14"/>
        <w:tabs>
          <w:tab w:val="right" w:leader="dot" w:pos="8306"/>
        </w:tabs>
      </w:pPr>
      <w:r>
        <w:rPr>
          <w:rFonts w:eastAsiaTheme="majorEastAsia"/>
          <w:szCs w:val="21"/>
        </w:rPr>
        <w:fldChar w:fldCharType="begin"/>
      </w:r>
      <w:r>
        <w:rPr>
          <w:rFonts w:eastAsiaTheme="majorEastAsia"/>
          <w:szCs w:val="21"/>
        </w:rPr>
        <w:instrText xml:space="preserve"> HYPERLINK \l _Toc11396 </w:instrText>
      </w:r>
      <w:r>
        <w:rPr>
          <w:rFonts w:eastAsiaTheme="majorEastAsia"/>
          <w:szCs w:val="21"/>
        </w:rPr>
        <w:fldChar w:fldCharType="separate"/>
      </w:r>
      <w:r>
        <w:rPr>
          <w:rFonts w:hint="default"/>
          <w:lang w:val="en-US" w:eastAsia="zh-CN"/>
        </w:rPr>
        <w:t xml:space="preserve">1.2. </w:t>
      </w:r>
      <w:r>
        <w:rPr>
          <w:rFonts w:hint="eastAsia"/>
          <w:lang w:val="en-US" w:eastAsia="zh-CN"/>
        </w:rPr>
        <w:t>委托方登录</w:t>
      </w:r>
      <w:r>
        <w:tab/>
      </w:r>
      <w:r>
        <w:fldChar w:fldCharType="begin"/>
      </w:r>
      <w:r>
        <w:instrText xml:space="preserve"> PAGEREF _Toc11396 \h </w:instrText>
      </w:r>
      <w:r>
        <w:fldChar w:fldCharType="separate"/>
      </w:r>
      <w:r>
        <w:t>4</w:t>
      </w:r>
      <w:r>
        <w:fldChar w:fldCharType="end"/>
      </w:r>
      <w:r>
        <w:rPr>
          <w:rFonts w:eastAsiaTheme="majorEastAsia"/>
          <w:szCs w:val="21"/>
        </w:rPr>
        <w:fldChar w:fldCharType="end"/>
      </w:r>
    </w:p>
    <w:p w14:paraId="20A796CB">
      <w:pPr>
        <w:pStyle w:val="14"/>
        <w:tabs>
          <w:tab w:val="right" w:leader="dot" w:pos="8306"/>
        </w:tabs>
      </w:pPr>
      <w:r>
        <w:rPr>
          <w:rFonts w:eastAsiaTheme="majorEastAsia"/>
          <w:szCs w:val="21"/>
        </w:rPr>
        <w:fldChar w:fldCharType="begin"/>
      </w:r>
      <w:r>
        <w:rPr>
          <w:rFonts w:eastAsiaTheme="majorEastAsia"/>
          <w:szCs w:val="21"/>
        </w:rPr>
        <w:instrText xml:space="preserve"> HYPERLINK \l _Toc20371 </w:instrText>
      </w:r>
      <w:r>
        <w:rPr>
          <w:rFonts w:eastAsiaTheme="majorEastAsia"/>
          <w:szCs w:val="21"/>
        </w:rPr>
        <w:fldChar w:fldCharType="separate"/>
      </w:r>
      <w:r>
        <w:rPr>
          <w:rFonts w:hint="default"/>
          <w:lang w:val="en-US" w:eastAsia="zh-CN"/>
        </w:rPr>
        <w:t xml:space="preserve">1.3. </w:t>
      </w:r>
      <w:r>
        <w:rPr>
          <w:rFonts w:hint="eastAsia"/>
          <w:lang w:val="en-US" w:eastAsia="zh-CN"/>
        </w:rPr>
        <w:t>完善并申请成为委托方</w:t>
      </w:r>
      <w:r>
        <w:tab/>
      </w:r>
      <w:r>
        <w:fldChar w:fldCharType="begin"/>
      </w:r>
      <w:r>
        <w:instrText xml:space="preserve"> PAGEREF _Toc20371 \h </w:instrText>
      </w:r>
      <w:r>
        <w:fldChar w:fldCharType="separate"/>
      </w:r>
      <w:r>
        <w:t>7</w:t>
      </w:r>
      <w:r>
        <w:fldChar w:fldCharType="end"/>
      </w:r>
      <w:r>
        <w:rPr>
          <w:rFonts w:eastAsiaTheme="majorEastAsia"/>
          <w:szCs w:val="21"/>
        </w:rPr>
        <w:fldChar w:fldCharType="end"/>
      </w:r>
    </w:p>
    <w:p w14:paraId="640C5359">
      <w:pPr>
        <w:pStyle w:val="13"/>
        <w:tabs>
          <w:tab w:val="right" w:leader="dot" w:pos="8306"/>
        </w:tabs>
      </w:pPr>
      <w:r>
        <w:rPr>
          <w:rFonts w:eastAsiaTheme="majorEastAsia"/>
          <w:szCs w:val="21"/>
        </w:rPr>
        <w:fldChar w:fldCharType="begin"/>
      </w:r>
      <w:r>
        <w:rPr>
          <w:rFonts w:eastAsiaTheme="majorEastAsia"/>
          <w:szCs w:val="21"/>
        </w:rPr>
        <w:instrText xml:space="preserve"> HYPERLINK \l _Toc14418 </w:instrText>
      </w:r>
      <w:r>
        <w:rPr>
          <w:rFonts w:eastAsiaTheme="majorEastAsia"/>
          <w:szCs w:val="21"/>
        </w:rPr>
        <w:fldChar w:fldCharType="separate"/>
      </w:r>
      <w:r>
        <w:rPr>
          <w:rFonts w:hint="default"/>
          <w:lang w:val="en-US" w:eastAsia="zh-CN"/>
        </w:rPr>
        <w:t xml:space="preserve">2. </w:t>
      </w:r>
      <w:r>
        <w:rPr>
          <w:rFonts w:hint="eastAsia"/>
          <w:lang w:val="en-US" w:eastAsia="zh-CN"/>
        </w:rPr>
        <w:t>资产管理</w:t>
      </w:r>
      <w:r>
        <w:tab/>
      </w:r>
      <w:r>
        <w:fldChar w:fldCharType="begin"/>
      </w:r>
      <w:r>
        <w:instrText xml:space="preserve"> PAGEREF _Toc14418 \h </w:instrText>
      </w:r>
      <w:r>
        <w:fldChar w:fldCharType="separate"/>
      </w:r>
      <w:r>
        <w:t>9</w:t>
      </w:r>
      <w:r>
        <w:fldChar w:fldCharType="end"/>
      </w:r>
      <w:r>
        <w:rPr>
          <w:rFonts w:eastAsiaTheme="majorEastAsia"/>
          <w:szCs w:val="21"/>
        </w:rPr>
        <w:fldChar w:fldCharType="end"/>
      </w:r>
    </w:p>
    <w:p w14:paraId="49F530B6">
      <w:pPr>
        <w:pStyle w:val="14"/>
        <w:tabs>
          <w:tab w:val="right" w:leader="dot" w:pos="8306"/>
        </w:tabs>
      </w:pPr>
      <w:r>
        <w:rPr>
          <w:rFonts w:eastAsiaTheme="majorEastAsia"/>
          <w:szCs w:val="21"/>
        </w:rPr>
        <w:fldChar w:fldCharType="begin"/>
      </w:r>
      <w:r>
        <w:rPr>
          <w:rFonts w:eastAsiaTheme="majorEastAsia"/>
          <w:szCs w:val="21"/>
        </w:rPr>
        <w:instrText xml:space="preserve"> HYPERLINK \l _Toc21763 </w:instrText>
      </w:r>
      <w:r>
        <w:rPr>
          <w:rFonts w:eastAsiaTheme="majorEastAsia"/>
          <w:szCs w:val="21"/>
        </w:rPr>
        <w:fldChar w:fldCharType="separate"/>
      </w:r>
      <w:r>
        <w:rPr>
          <w:rFonts w:hint="default"/>
          <w:lang w:val="en-US" w:eastAsia="zh-CN"/>
        </w:rPr>
        <w:t xml:space="preserve">2.1. </w:t>
      </w:r>
      <w:r>
        <w:rPr>
          <w:rFonts w:hint="eastAsia"/>
          <w:lang w:val="en-US" w:eastAsia="zh-CN"/>
        </w:rPr>
        <w:t>委托方资产管理</w:t>
      </w:r>
      <w:r>
        <w:tab/>
      </w:r>
      <w:r>
        <w:fldChar w:fldCharType="begin"/>
      </w:r>
      <w:r>
        <w:instrText xml:space="preserve"> PAGEREF _Toc21763 \h </w:instrText>
      </w:r>
      <w:r>
        <w:fldChar w:fldCharType="separate"/>
      </w:r>
      <w:r>
        <w:t>9</w:t>
      </w:r>
      <w:r>
        <w:fldChar w:fldCharType="end"/>
      </w:r>
      <w:r>
        <w:rPr>
          <w:rFonts w:eastAsiaTheme="majorEastAsia"/>
          <w:szCs w:val="21"/>
        </w:rPr>
        <w:fldChar w:fldCharType="end"/>
      </w:r>
    </w:p>
    <w:p w14:paraId="3B879E3A">
      <w:pPr>
        <w:pStyle w:val="13"/>
        <w:tabs>
          <w:tab w:val="right" w:leader="dot" w:pos="8306"/>
        </w:tabs>
      </w:pPr>
      <w:r>
        <w:rPr>
          <w:rFonts w:eastAsiaTheme="majorEastAsia"/>
          <w:szCs w:val="21"/>
        </w:rPr>
        <w:fldChar w:fldCharType="begin"/>
      </w:r>
      <w:r>
        <w:rPr>
          <w:rFonts w:eastAsiaTheme="majorEastAsia"/>
          <w:szCs w:val="21"/>
        </w:rPr>
        <w:instrText xml:space="preserve"> HYPERLINK \l _Toc21527 </w:instrText>
      </w:r>
      <w:r>
        <w:rPr>
          <w:rFonts w:eastAsiaTheme="majorEastAsia"/>
          <w:szCs w:val="21"/>
        </w:rPr>
        <w:fldChar w:fldCharType="separate"/>
      </w:r>
      <w:r>
        <w:rPr>
          <w:rFonts w:hint="default"/>
          <w:lang w:val="en-US" w:eastAsia="zh-CN"/>
        </w:rPr>
        <w:t xml:space="preserve">3. </w:t>
      </w:r>
      <w:r>
        <w:rPr>
          <w:rFonts w:hint="eastAsia"/>
          <w:lang w:val="en-US" w:eastAsia="zh-CN"/>
        </w:rPr>
        <w:t>资产租赁-项目委托</w:t>
      </w:r>
      <w:r>
        <w:tab/>
      </w:r>
      <w:r>
        <w:fldChar w:fldCharType="begin"/>
      </w:r>
      <w:r>
        <w:instrText xml:space="preserve"> PAGEREF _Toc21527 \h </w:instrText>
      </w:r>
      <w:r>
        <w:fldChar w:fldCharType="separate"/>
      </w:r>
      <w:r>
        <w:t>11</w:t>
      </w:r>
      <w:r>
        <w:fldChar w:fldCharType="end"/>
      </w:r>
      <w:r>
        <w:rPr>
          <w:rFonts w:eastAsiaTheme="majorEastAsia"/>
          <w:szCs w:val="21"/>
        </w:rPr>
        <w:fldChar w:fldCharType="end"/>
      </w:r>
    </w:p>
    <w:p w14:paraId="0D756B0F">
      <w:pPr>
        <w:pStyle w:val="14"/>
        <w:tabs>
          <w:tab w:val="right" w:leader="dot" w:pos="8306"/>
        </w:tabs>
      </w:pPr>
      <w:r>
        <w:rPr>
          <w:rFonts w:eastAsiaTheme="majorEastAsia"/>
          <w:szCs w:val="21"/>
        </w:rPr>
        <w:fldChar w:fldCharType="begin"/>
      </w:r>
      <w:r>
        <w:rPr>
          <w:rFonts w:eastAsiaTheme="majorEastAsia"/>
          <w:szCs w:val="21"/>
        </w:rPr>
        <w:instrText xml:space="preserve"> HYPERLINK \l _Toc2452 </w:instrText>
      </w:r>
      <w:r>
        <w:rPr>
          <w:rFonts w:eastAsiaTheme="majorEastAsia"/>
          <w:szCs w:val="21"/>
        </w:rPr>
        <w:fldChar w:fldCharType="separate"/>
      </w:r>
      <w:r>
        <w:rPr>
          <w:rFonts w:hint="default"/>
        </w:rPr>
        <w:t xml:space="preserve">3.1. </w:t>
      </w:r>
      <w:r>
        <w:rPr>
          <w:rFonts w:hint="eastAsia"/>
          <w:lang w:val="en-US" w:eastAsia="zh-CN"/>
        </w:rPr>
        <w:t>单租赁项目委托登记</w:t>
      </w:r>
      <w:r>
        <w:tab/>
      </w:r>
      <w:r>
        <w:fldChar w:fldCharType="begin"/>
      </w:r>
      <w:r>
        <w:instrText xml:space="preserve"> PAGEREF _Toc2452 \h </w:instrText>
      </w:r>
      <w:r>
        <w:fldChar w:fldCharType="separate"/>
      </w:r>
      <w:r>
        <w:t>11</w:t>
      </w:r>
      <w:r>
        <w:fldChar w:fldCharType="end"/>
      </w:r>
      <w:r>
        <w:rPr>
          <w:rFonts w:eastAsiaTheme="majorEastAsia"/>
          <w:szCs w:val="21"/>
        </w:rPr>
        <w:fldChar w:fldCharType="end"/>
      </w:r>
    </w:p>
    <w:p w14:paraId="36C7E118">
      <w:pPr>
        <w:pStyle w:val="14"/>
        <w:tabs>
          <w:tab w:val="right" w:leader="dot" w:pos="8306"/>
        </w:tabs>
      </w:pPr>
      <w:r>
        <w:rPr>
          <w:rFonts w:eastAsiaTheme="majorEastAsia"/>
          <w:szCs w:val="21"/>
        </w:rPr>
        <w:fldChar w:fldCharType="begin"/>
      </w:r>
      <w:r>
        <w:rPr>
          <w:rFonts w:eastAsiaTheme="majorEastAsia"/>
          <w:szCs w:val="21"/>
        </w:rPr>
        <w:instrText xml:space="preserve"> HYPERLINK \l _Toc31323 </w:instrText>
      </w:r>
      <w:r>
        <w:rPr>
          <w:rFonts w:eastAsiaTheme="majorEastAsia"/>
          <w:szCs w:val="21"/>
        </w:rPr>
        <w:fldChar w:fldCharType="separate"/>
      </w:r>
      <w:r>
        <w:rPr>
          <w:rFonts w:hint="default"/>
        </w:rPr>
        <w:t xml:space="preserve">3.2. </w:t>
      </w:r>
      <w:r>
        <w:rPr>
          <w:rFonts w:hint="eastAsia"/>
          <w:lang w:val="en-US" w:eastAsia="zh-CN"/>
        </w:rPr>
        <w:t>租赁包项目委托登记</w:t>
      </w:r>
      <w:r>
        <w:tab/>
      </w:r>
      <w:r>
        <w:fldChar w:fldCharType="begin"/>
      </w:r>
      <w:r>
        <w:instrText xml:space="preserve"> PAGEREF _Toc31323 \h </w:instrText>
      </w:r>
      <w:r>
        <w:fldChar w:fldCharType="separate"/>
      </w:r>
      <w:r>
        <w:t>19</w:t>
      </w:r>
      <w:r>
        <w:fldChar w:fldCharType="end"/>
      </w:r>
      <w:r>
        <w:rPr>
          <w:rFonts w:eastAsiaTheme="majorEastAsia"/>
          <w:szCs w:val="21"/>
        </w:rPr>
        <w:fldChar w:fldCharType="end"/>
      </w:r>
    </w:p>
    <w:p w14:paraId="42EF9E0B">
      <w:pPr>
        <w:pStyle w:val="13"/>
        <w:tabs>
          <w:tab w:val="right" w:leader="dot" w:pos="8306"/>
        </w:tabs>
      </w:pPr>
      <w:r>
        <w:rPr>
          <w:rFonts w:eastAsiaTheme="majorEastAsia"/>
          <w:szCs w:val="21"/>
        </w:rPr>
        <w:fldChar w:fldCharType="begin"/>
      </w:r>
      <w:r>
        <w:rPr>
          <w:rFonts w:eastAsiaTheme="majorEastAsia"/>
          <w:szCs w:val="21"/>
        </w:rPr>
        <w:instrText xml:space="preserve"> HYPERLINK \l _Toc14336 </w:instrText>
      </w:r>
      <w:r>
        <w:rPr>
          <w:rFonts w:eastAsiaTheme="majorEastAsia"/>
          <w:szCs w:val="21"/>
        </w:rPr>
        <w:fldChar w:fldCharType="separate"/>
      </w:r>
      <w:r>
        <w:rPr>
          <w:rFonts w:hint="default"/>
          <w:lang w:val="en-US" w:eastAsia="zh-CN"/>
        </w:rPr>
        <w:t xml:space="preserve">4. </w:t>
      </w:r>
      <w:r>
        <w:rPr>
          <w:rFonts w:hint="eastAsia"/>
          <w:lang w:val="en-US" w:eastAsia="zh-CN"/>
        </w:rPr>
        <w:t>委托项目管理</w:t>
      </w:r>
      <w:r>
        <w:tab/>
      </w:r>
      <w:r>
        <w:fldChar w:fldCharType="begin"/>
      </w:r>
      <w:r>
        <w:instrText xml:space="preserve"> PAGEREF _Toc14336 \h </w:instrText>
      </w:r>
      <w:r>
        <w:fldChar w:fldCharType="separate"/>
      </w:r>
      <w:r>
        <w:t>27</w:t>
      </w:r>
      <w:r>
        <w:fldChar w:fldCharType="end"/>
      </w:r>
      <w:r>
        <w:rPr>
          <w:rFonts w:eastAsiaTheme="majorEastAsia"/>
          <w:szCs w:val="21"/>
        </w:rPr>
        <w:fldChar w:fldCharType="end"/>
      </w:r>
    </w:p>
    <w:p w14:paraId="505CF8A1">
      <w:pPr>
        <w:pStyle w:val="14"/>
        <w:tabs>
          <w:tab w:val="right" w:leader="dot" w:pos="8306"/>
        </w:tabs>
      </w:pPr>
      <w:r>
        <w:rPr>
          <w:rFonts w:eastAsiaTheme="majorEastAsia"/>
          <w:szCs w:val="21"/>
        </w:rPr>
        <w:fldChar w:fldCharType="begin"/>
      </w:r>
      <w:r>
        <w:rPr>
          <w:rFonts w:eastAsiaTheme="majorEastAsia"/>
          <w:szCs w:val="21"/>
        </w:rPr>
        <w:instrText xml:space="preserve"> HYPERLINK \l _Toc17430 </w:instrText>
      </w:r>
      <w:r>
        <w:rPr>
          <w:rFonts w:eastAsiaTheme="majorEastAsia"/>
          <w:szCs w:val="21"/>
        </w:rPr>
        <w:fldChar w:fldCharType="separate"/>
      </w:r>
      <w:r>
        <w:rPr>
          <w:rFonts w:hint="default"/>
        </w:rPr>
        <w:t xml:space="preserve">4.1. </w:t>
      </w:r>
      <w:r>
        <w:rPr>
          <w:rFonts w:hint="eastAsia"/>
          <w:lang w:val="en-US" w:eastAsia="zh-CN"/>
        </w:rPr>
        <w:t>委托中项目</w:t>
      </w:r>
      <w:r>
        <w:tab/>
      </w:r>
      <w:r>
        <w:fldChar w:fldCharType="begin"/>
      </w:r>
      <w:r>
        <w:instrText xml:space="preserve"> PAGEREF _Toc17430 \h </w:instrText>
      </w:r>
      <w:r>
        <w:fldChar w:fldCharType="separate"/>
      </w:r>
      <w:r>
        <w:t>27</w:t>
      </w:r>
      <w:r>
        <w:fldChar w:fldCharType="end"/>
      </w:r>
      <w:r>
        <w:rPr>
          <w:rFonts w:eastAsiaTheme="majorEastAsia"/>
          <w:szCs w:val="21"/>
        </w:rPr>
        <w:fldChar w:fldCharType="end"/>
      </w:r>
    </w:p>
    <w:p w14:paraId="64BC22A9">
      <w:pPr>
        <w:pStyle w:val="14"/>
        <w:tabs>
          <w:tab w:val="right" w:leader="dot" w:pos="8306"/>
        </w:tabs>
      </w:pPr>
      <w:r>
        <w:rPr>
          <w:rFonts w:eastAsiaTheme="majorEastAsia"/>
          <w:szCs w:val="21"/>
        </w:rPr>
        <w:fldChar w:fldCharType="begin"/>
      </w:r>
      <w:r>
        <w:rPr>
          <w:rFonts w:eastAsiaTheme="majorEastAsia"/>
          <w:szCs w:val="21"/>
        </w:rPr>
        <w:instrText xml:space="preserve"> HYPERLINK \l _Toc12785 </w:instrText>
      </w:r>
      <w:r>
        <w:rPr>
          <w:rFonts w:eastAsiaTheme="majorEastAsia"/>
          <w:szCs w:val="21"/>
        </w:rPr>
        <w:fldChar w:fldCharType="separate"/>
      </w:r>
      <w:r>
        <w:rPr>
          <w:rFonts w:hint="default"/>
        </w:rPr>
        <w:t xml:space="preserve">4.2. </w:t>
      </w:r>
      <w:r>
        <w:rPr>
          <w:rFonts w:hint="eastAsia"/>
          <w:lang w:val="en-US" w:eastAsia="zh-CN"/>
        </w:rPr>
        <w:t>已挂牌项目</w:t>
      </w:r>
      <w:r>
        <w:tab/>
      </w:r>
      <w:r>
        <w:fldChar w:fldCharType="begin"/>
      </w:r>
      <w:r>
        <w:instrText xml:space="preserve"> PAGEREF _Toc12785 \h </w:instrText>
      </w:r>
      <w:r>
        <w:fldChar w:fldCharType="separate"/>
      </w:r>
      <w:r>
        <w:t>28</w:t>
      </w:r>
      <w:r>
        <w:fldChar w:fldCharType="end"/>
      </w:r>
      <w:r>
        <w:rPr>
          <w:rFonts w:eastAsiaTheme="majorEastAsia"/>
          <w:szCs w:val="21"/>
        </w:rPr>
        <w:fldChar w:fldCharType="end"/>
      </w:r>
    </w:p>
    <w:p w14:paraId="542FB04E">
      <w:pPr>
        <w:pStyle w:val="14"/>
        <w:tabs>
          <w:tab w:val="right" w:leader="dot" w:pos="8306"/>
        </w:tabs>
      </w:pPr>
      <w:r>
        <w:rPr>
          <w:rFonts w:eastAsiaTheme="majorEastAsia"/>
          <w:szCs w:val="21"/>
        </w:rPr>
        <w:fldChar w:fldCharType="begin"/>
      </w:r>
      <w:r>
        <w:rPr>
          <w:rFonts w:eastAsiaTheme="majorEastAsia"/>
          <w:szCs w:val="21"/>
        </w:rPr>
        <w:instrText xml:space="preserve"> HYPERLINK \l _Toc20091 </w:instrText>
      </w:r>
      <w:r>
        <w:rPr>
          <w:rFonts w:eastAsiaTheme="majorEastAsia"/>
          <w:szCs w:val="21"/>
        </w:rPr>
        <w:fldChar w:fldCharType="separate"/>
      </w:r>
      <w:r>
        <w:rPr>
          <w:rFonts w:hint="default"/>
        </w:rPr>
        <w:t xml:space="preserve">4.3. </w:t>
      </w:r>
      <w:r>
        <w:rPr>
          <w:rFonts w:hint="eastAsia"/>
          <w:lang w:val="en-US" w:eastAsia="zh-CN"/>
        </w:rPr>
        <w:t>已成交项目</w:t>
      </w:r>
      <w:r>
        <w:tab/>
      </w:r>
      <w:r>
        <w:fldChar w:fldCharType="begin"/>
      </w:r>
      <w:r>
        <w:instrText xml:space="preserve"> PAGEREF _Toc20091 \h </w:instrText>
      </w:r>
      <w:r>
        <w:fldChar w:fldCharType="separate"/>
      </w:r>
      <w:r>
        <w:t>28</w:t>
      </w:r>
      <w:r>
        <w:fldChar w:fldCharType="end"/>
      </w:r>
      <w:r>
        <w:rPr>
          <w:rFonts w:eastAsiaTheme="majorEastAsia"/>
          <w:szCs w:val="21"/>
        </w:rPr>
        <w:fldChar w:fldCharType="end"/>
      </w:r>
    </w:p>
    <w:p w14:paraId="2E6C2270">
      <w:pPr>
        <w:pStyle w:val="13"/>
        <w:tabs>
          <w:tab w:val="right" w:leader="dot" w:pos="8306"/>
        </w:tabs>
      </w:pPr>
      <w:r>
        <w:rPr>
          <w:rFonts w:eastAsiaTheme="majorEastAsia"/>
          <w:szCs w:val="21"/>
        </w:rPr>
        <w:fldChar w:fldCharType="begin"/>
      </w:r>
      <w:r>
        <w:rPr>
          <w:rFonts w:eastAsiaTheme="majorEastAsia"/>
          <w:szCs w:val="21"/>
        </w:rPr>
        <w:instrText xml:space="preserve"> HYPERLINK \l _Toc12605 </w:instrText>
      </w:r>
      <w:r>
        <w:rPr>
          <w:rFonts w:eastAsiaTheme="majorEastAsia"/>
          <w:szCs w:val="21"/>
        </w:rPr>
        <w:fldChar w:fldCharType="separate"/>
      </w:r>
      <w:r>
        <w:rPr>
          <w:rFonts w:hint="default"/>
          <w:lang w:val="en-US" w:eastAsia="zh-CN"/>
        </w:rPr>
        <w:t xml:space="preserve">5. </w:t>
      </w:r>
      <w:r>
        <w:rPr>
          <w:rFonts w:hint="eastAsia"/>
          <w:lang w:val="en-US" w:eastAsia="zh-CN"/>
        </w:rPr>
        <w:t>待办事项</w:t>
      </w:r>
      <w:r>
        <w:tab/>
      </w:r>
      <w:r>
        <w:fldChar w:fldCharType="begin"/>
      </w:r>
      <w:r>
        <w:instrText xml:space="preserve"> PAGEREF _Toc12605 \h </w:instrText>
      </w:r>
      <w:r>
        <w:fldChar w:fldCharType="separate"/>
      </w:r>
      <w:r>
        <w:t>29</w:t>
      </w:r>
      <w:r>
        <w:fldChar w:fldCharType="end"/>
      </w:r>
      <w:r>
        <w:rPr>
          <w:rFonts w:eastAsiaTheme="majorEastAsia"/>
          <w:szCs w:val="21"/>
        </w:rPr>
        <w:fldChar w:fldCharType="end"/>
      </w:r>
    </w:p>
    <w:p w14:paraId="2ED904CE">
      <w:pPr>
        <w:pStyle w:val="14"/>
        <w:tabs>
          <w:tab w:val="right" w:leader="dot" w:pos="8306"/>
        </w:tabs>
      </w:pPr>
      <w:r>
        <w:rPr>
          <w:rFonts w:eastAsiaTheme="majorEastAsia"/>
          <w:szCs w:val="21"/>
        </w:rPr>
        <w:fldChar w:fldCharType="begin"/>
      </w:r>
      <w:r>
        <w:rPr>
          <w:rFonts w:eastAsiaTheme="majorEastAsia"/>
          <w:szCs w:val="21"/>
        </w:rPr>
        <w:instrText xml:space="preserve"> HYPERLINK \l _Toc24521 </w:instrText>
      </w:r>
      <w:r>
        <w:rPr>
          <w:rFonts w:eastAsiaTheme="majorEastAsia"/>
          <w:szCs w:val="21"/>
        </w:rPr>
        <w:fldChar w:fldCharType="separate"/>
      </w:r>
      <w:r>
        <w:rPr>
          <w:rFonts w:hint="default"/>
        </w:rPr>
        <w:t xml:space="preserve">5.1. </w:t>
      </w:r>
      <w:r>
        <w:rPr>
          <w:rFonts w:hint="eastAsia"/>
          <w:lang w:val="en-US" w:eastAsia="zh-CN"/>
        </w:rPr>
        <w:t>委托方修改</w:t>
      </w:r>
      <w:r>
        <w:tab/>
      </w:r>
      <w:r>
        <w:fldChar w:fldCharType="begin"/>
      </w:r>
      <w:r>
        <w:instrText xml:space="preserve"> PAGEREF _Toc24521 \h </w:instrText>
      </w:r>
      <w:r>
        <w:fldChar w:fldCharType="separate"/>
      </w:r>
      <w:r>
        <w:t>29</w:t>
      </w:r>
      <w:r>
        <w:fldChar w:fldCharType="end"/>
      </w:r>
      <w:r>
        <w:rPr>
          <w:rFonts w:eastAsiaTheme="majorEastAsia"/>
          <w:szCs w:val="21"/>
        </w:rPr>
        <w:fldChar w:fldCharType="end"/>
      </w:r>
    </w:p>
    <w:p w14:paraId="07764ACC">
      <w:pPr>
        <w:pStyle w:val="14"/>
        <w:tabs>
          <w:tab w:val="right" w:leader="dot" w:pos="8306"/>
        </w:tabs>
      </w:pPr>
      <w:r>
        <w:rPr>
          <w:rFonts w:eastAsiaTheme="majorEastAsia"/>
          <w:szCs w:val="21"/>
        </w:rPr>
        <w:fldChar w:fldCharType="begin"/>
      </w:r>
      <w:r>
        <w:rPr>
          <w:rFonts w:eastAsiaTheme="majorEastAsia"/>
          <w:szCs w:val="21"/>
        </w:rPr>
        <w:instrText xml:space="preserve"> HYPERLINK \l _Toc4062 </w:instrText>
      </w:r>
      <w:r>
        <w:rPr>
          <w:rFonts w:eastAsiaTheme="majorEastAsia"/>
          <w:szCs w:val="21"/>
        </w:rPr>
        <w:fldChar w:fldCharType="separate"/>
      </w:r>
      <w:r>
        <w:rPr>
          <w:rFonts w:hint="default"/>
        </w:rPr>
        <w:t xml:space="preserve">5.2. </w:t>
      </w:r>
      <w:r>
        <w:rPr>
          <w:rFonts w:hint="eastAsia"/>
          <w:lang w:val="en-US" w:eastAsia="zh-CN"/>
        </w:rPr>
        <w:t>委托方项目公告确认</w:t>
      </w:r>
      <w:r>
        <w:tab/>
      </w:r>
      <w:r>
        <w:fldChar w:fldCharType="begin"/>
      </w:r>
      <w:r>
        <w:instrText xml:space="preserve"> PAGEREF _Toc4062 \h </w:instrText>
      </w:r>
      <w:r>
        <w:fldChar w:fldCharType="separate"/>
      </w:r>
      <w:r>
        <w:t>30</w:t>
      </w:r>
      <w:r>
        <w:fldChar w:fldCharType="end"/>
      </w:r>
      <w:r>
        <w:rPr>
          <w:rFonts w:eastAsiaTheme="majorEastAsia"/>
          <w:szCs w:val="21"/>
        </w:rPr>
        <w:fldChar w:fldCharType="end"/>
      </w:r>
    </w:p>
    <w:p w14:paraId="14944C04">
      <w:pPr>
        <w:rPr>
          <w:rFonts w:eastAsiaTheme="majorEastAsia"/>
          <w:szCs w:val="21"/>
        </w:rPr>
      </w:pPr>
      <w:r>
        <w:rPr>
          <w:rFonts w:eastAsiaTheme="majorEastAsia"/>
          <w:szCs w:val="21"/>
        </w:rPr>
        <w:fldChar w:fldCharType="end"/>
      </w:r>
      <w:r>
        <w:rPr>
          <w:rFonts w:eastAsiaTheme="majorEastAsia"/>
          <w:szCs w:val="21"/>
        </w:rPr>
        <w:br w:type="page"/>
      </w:r>
    </w:p>
    <w:p w14:paraId="52549933">
      <w:pPr>
        <w:pStyle w:val="2"/>
        <w:bidi w:val="0"/>
        <w:rPr>
          <w:rFonts w:hint="default"/>
          <w:lang w:val="en-US" w:eastAsia="zh-CN"/>
        </w:rPr>
      </w:pPr>
      <w:bookmarkStart w:id="0" w:name="_Toc6279"/>
      <w:r>
        <w:rPr>
          <w:rFonts w:hint="eastAsia"/>
          <w:lang w:val="en-US" w:eastAsia="zh-CN"/>
        </w:rPr>
        <w:t>申请成为委托方</w:t>
      </w:r>
      <w:bookmarkEnd w:id="0"/>
    </w:p>
    <w:p w14:paraId="68B8E999">
      <w:pPr>
        <w:pStyle w:val="3"/>
        <w:rPr>
          <w:rFonts w:hint="default"/>
          <w:lang w:val="en-US" w:eastAsia="zh-CN"/>
        </w:rPr>
      </w:pPr>
      <w:bookmarkStart w:id="1" w:name="_Toc19265"/>
      <w:r>
        <w:rPr>
          <w:rFonts w:hint="eastAsia"/>
          <w:lang w:val="en-US" w:eastAsia="zh-CN"/>
        </w:rPr>
        <w:t>委托方注册</w:t>
      </w:r>
      <w:bookmarkEnd w:id="1"/>
    </w:p>
    <w:p w14:paraId="5B3630C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委托方首先需要在产权官网注册成为注册用户。</w:t>
      </w:r>
    </w:p>
    <w:p w14:paraId="3E84626E">
      <w:pPr>
        <w:rPr>
          <w:rFonts w:hint="eastAsia"/>
          <w:lang w:val="en-US" w:eastAsia="zh-CN"/>
        </w:rPr>
      </w:pPr>
    </w:p>
    <w:p w14:paraId="2131C62E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由宁波产权交易中心首页，点击右上方的“登录”按钮即进入登录页面，点击“新用户注册”进入注册页面，如下图所示：</w:t>
      </w:r>
    </w:p>
    <w:p w14:paraId="2C156BB0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5420" cy="2915920"/>
            <wp:effectExtent l="0" t="0" r="1905" b="8255"/>
            <wp:docPr id="6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91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A357D">
      <w:pPr>
        <w:rPr>
          <w:rFonts w:hint="default"/>
          <w:lang w:val="en-US" w:eastAsia="zh-CN"/>
        </w:rPr>
      </w:pPr>
    </w:p>
    <w:p w14:paraId="7CD49E67">
      <w:r>
        <w:drawing>
          <wp:inline distT="0" distB="0" distL="114300" distR="114300">
            <wp:extent cx="5267325" cy="2806700"/>
            <wp:effectExtent l="0" t="0" r="0" b="3175"/>
            <wp:docPr id="6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0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99A32">
      <w:pPr>
        <w:pStyle w:val="12"/>
      </w:pPr>
    </w:p>
    <w:p w14:paraId="0F142844">
      <w:pPr>
        <w:pStyle w:val="12"/>
      </w:pPr>
      <w:r>
        <w:drawing>
          <wp:inline distT="0" distB="0" distL="114300" distR="114300">
            <wp:extent cx="5273040" cy="3123565"/>
            <wp:effectExtent l="0" t="0" r="3810" b="635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12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93EAA">
      <w:pPr>
        <w:pStyle w:val="12"/>
      </w:pPr>
    </w:p>
    <w:p w14:paraId="3EB6CDAE">
      <w:pPr>
        <w:pStyle w:val="12"/>
        <w:ind w:left="420"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进入注册账号页面后，选择要注册的用户类型（目前支持法人、个体工商户和自然人）。</w:t>
      </w:r>
    </w:p>
    <w:p w14:paraId="0C4554A7">
      <w:pPr>
        <w:pStyle w:val="12"/>
        <w:ind w:left="420"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选择要注册的身份，目前支持受让方、委托方和委托代理人，可允许勾选多个：</w:t>
      </w:r>
    </w:p>
    <w:p w14:paraId="2F8DCD47">
      <w:pPr>
        <w:pStyle w:val="12"/>
        <w:numPr>
          <w:ilvl w:val="0"/>
          <w:numId w:val="2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选择“受让方”身份，可以报名竞买项目；</w:t>
      </w:r>
    </w:p>
    <w:p w14:paraId="6EAB84BC">
      <w:pPr>
        <w:pStyle w:val="12"/>
        <w:numPr>
          <w:ilvl w:val="0"/>
          <w:numId w:val="2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选择“委托方”身份可以转让、出租、融资标的；</w:t>
      </w:r>
    </w:p>
    <w:p w14:paraId="535B334D">
      <w:pPr>
        <w:pStyle w:val="12"/>
        <w:numPr>
          <w:ilvl w:val="0"/>
          <w:numId w:val="2"/>
        </w:numPr>
        <w:ind w:left="840" w:leftChars="0" w:hanging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选择“委托代理方”则可以代理转让、出租、融资标的。</w:t>
      </w:r>
    </w:p>
    <w:p w14:paraId="4D534AD1">
      <w:pPr>
        <w:pStyle w:val="12"/>
        <w:ind w:left="420"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选择用户类型及注册身份后，可以继续填写相关信息，如法人或个体工商户填写企业名称和统一社会信用代码，自然人用户填写用户姓名、证件类型、证件号码。</w:t>
      </w:r>
    </w:p>
    <w:p w14:paraId="3F7482D1">
      <w:pPr>
        <w:pStyle w:val="12"/>
        <w:ind w:left="420"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输入密码及确认密码、图形验证码、手机验证码，勾选阅读并同意后提交即可。</w:t>
      </w:r>
    </w:p>
    <w:p w14:paraId="3FB75C09">
      <w:pPr>
        <w:pStyle w:val="3"/>
        <w:rPr>
          <w:rFonts w:hint="default"/>
          <w:lang w:val="en-US" w:eastAsia="zh-CN"/>
        </w:rPr>
      </w:pPr>
      <w:bookmarkStart w:id="2" w:name="_Toc11396"/>
      <w:r>
        <w:rPr>
          <w:rFonts w:hint="eastAsia"/>
          <w:lang w:val="en-US" w:eastAsia="zh-CN"/>
        </w:rPr>
        <w:t>委托方登录</w:t>
      </w:r>
      <w:bookmarkEnd w:id="2"/>
    </w:p>
    <w:p w14:paraId="10D97D7E">
      <w:pPr>
        <w:pStyle w:val="4"/>
        <w:bidi w:val="0"/>
        <w:rPr>
          <w:rFonts w:hint="eastAsia"/>
          <w:lang w:val="en-US" w:eastAsia="zh-CN"/>
        </w:rPr>
      </w:pPr>
      <w:bookmarkStart w:id="3" w:name="_Toc18430"/>
      <w:r>
        <w:rPr>
          <w:rFonts w:hint="eastAsia"/>
          <w:lang w:val="en-US" w:eastAsia="zh-CN"/>
        </w:rPr>
        <w:t>委托方入口介绍</w:t>
      </w:r>
      <w:bookmarkEnd w:id="3"/>
    </w:p>
    <w:p w14:paraId="50CE757E">
      <w:pPr>
        <w:pStyle w:val="15"/>
        <w:shd w:val="clear" w:color="auto" w:fill="FFFFFF"/>
        <w:spacing w:before="0" w:beforeAutospacing="0" w:after="0" w:afterAutospacing="0"/>
        <w:ind w:firstLine="420" w:firstLineChars="0"/>
        <w:jc w:val="both"/>
        <w:rPr>
          <w:rStyle w:val="18"/>
          <w:rFonts w:hint="eastAsia" w:cs="宋体"/>
          <w:b w:val="0"/>
          <w:bCs w:val="0"/>
          <w:color w:val="333333"/>
          <w:sz w:val="21"/>
          <w:szCs w:val="21"/>
          <w:lang w:val="en-US" w:eastAsia="zh-CN"/>
        </w:rPr>
      </w:pPr>
      <w:r>
        <w:rPr>
          <w:rStyle w:val="18"/>
          <w:rFonts w:hint="eastAsia" w:cs="宋体"/>
          <w:b w:val="0"/>
          <w:bCs w:val="0"/>
          <w:color w:val="333333"/>
          <w:sz w:val="21"/>
          <w:szCs w:val="21"/>
          <w:lang w:val="en-US" w:eastAsia="zh-CN"/>
        </w:rPr>
        <w:t>操作步骤如下：</w:t>
      </w:r>
    </w:p>
    <w:p w14:paraId="7CF18559">
      <w:pPr>
        <w:pStyle w:val="15"/>
        <w:numPr>
          <w:ilvl w:val="0"/>
          <w:numId w:val="3"/>
        </w:numPr>
        <w:shd w:val="clear" w:color="auto" w:fill="FFFFFF"/>
        <w:spacing w:before="0" w:beforeAutospacing="0" w:after="0" w:afterAutospacing="0"/>
        <w:ind w:firstLine="420" w:firstLineChars="0"/>
        <w:jc w:val="both"/>
        <w:rPr>
          <w:rStyle w:val="18"/>
          <w:rFonts w:hint="eastAsia" w:cs="宋体"/>
          <w:b w:val="0"/>
          <w:bCs w:val="0"/>
          <w:color w:val="333333"/>
          <w:kern w:val="2"/>
          <w:sz w:val="21"/>
          <w:szCs w:val="21"/>
          <w:lang w:val="en-US" w:eastAsia="zh-CN" w:bidi="ar-SA"/>
        </w:rPr>
      </w:pPr>
      <w:r>
        <w:rPr>
          <w:rStyle w:val="18"/>
          <w:rFonts w:hint="eastAsia" w:cs="宋体"/>
          <w:b w:val="0"/>
          <w:bCs w:val="0"/>
          <w:color w:val="333333"/>
          <w:sz w:val="21"/>
          <w:szCs w:val="21"/>
          <w:lang w:val="en-US" w:eastAsia="zh-CN"/>
        </w:rPr>
        <w:t>委托方</w:t>
      </w:r>
      <w:r>
        <w:rPr>
          <w:rStyle w:val="18"/>
          <w:rFonts w:hint="eastAsia" w:ascii="宋体" w:hAnsi="宋体" w:cs="宋体"/>
          <w:b w:val="0"/>
          <w:bCs w:val="0"/>
          <w:color w:val="333333"/>
          <w:sz w:val="21"/>
          <w:szCs w:val="21"/>
          <w:lang w:val="en-US" w:eastAsia="zh-CN"/>
        </w:rPr>
        <w:t>访问</w:t>
      </w:r>
      <w:r>
        <w:rPr>
          <w:rStyle w:val="18"/>
          <w:rFonts w:hint="eastAsia" w:ascii="宋体" w:hAnsi="宋体" w:eastAsia="宋体" w:cs="宋体"/>
          <w:b w:val="0"/>
          <w:bCs w:val="0"/>
          <w:color w:val="333333"/>
          <w:sz w:val="21"/>
          <w:szCs w:val="21"/>
          <w:lang w:val="en-US" w:eastAsia="zh-CN"/>
        </w:rPr>
        <w:t>宁波产权交易中心官网</w:t>
      </w:r>
      <w:r>
        <w:rPr>
          <w:rStyle w:val="18"/>
          <w:rFonts w:hint="eastAsia" w:ascii="宋体" w:hAnsi="宋体" w:eastAsia="宋体" w:cs="宋体"/>
          <w:b w:val="0"/>
          <w:bCs w:val="0"/>
          <w:color w:val="333333"/>
          <w:sz w:val="21"/>
          <w:szCs w:val="21"/>
        </w:rPr>
        <w:t>，</w:t>
      </w:r>
      <w:r>
        <w:rPr>
          <w:rStyle w:val="18"/>
          <w:rFonts w:hint="eastAsia" w:ascii="宋体" w:hAnsi="宋体" w:eastAsia="宋体" w:cs="宋体"/>
          <w:b w:val="0"/>
          <w:bCs w:val="0"/>
          <w:color w:val="333333"/>
          <w:kern w:val="2"/>
          <w:sz w:val="21"/>
          <w:szCs w:val="21"/>
          <w:lang w:val="en-US" w:eastAsia="zh-CN" w:bidi="ar-SA"/>
        </w:rPr>
        <w:t>点击右上角的“登录”按钮，进入登录页面</w:t>
      </w:r>
      <w:r>
        <w:rPr>
          <w:rStyle w:val="18"/>
          <w:rFonts w:hint="eastAsia" w:cs="宋体"/>
          <w:b w:val="0"/>
          <w:bCs w:val="0"/>
          <w:color w:val="333333"/>
          <w:kern w:val="2"/>
          <w:sz w:val="21"/>
          <w:szCs w:val="21"/>
          <w:lang w:val="en-US" w:eastAsia="zh-CN" w:bidi="ar-SA"/>
        </w:rPr>
        <w:t>，如下图所示：</w:t>
      </w:r>
    </w:p>
    <w:p w14:paraId="4D9F88C6">
      <w:pPr>
        <w:pStyle w:val="15"/>
        <w:numPr>
          <w:ilvl w:val="0"/>
          <w:numId w:val="0"/>
        </w:numPr>
        <w:shd w:val="clear" w:color="auto" w:fill="FFFFFF"/>
        <w:spacing w:before="0" w:beforeAutospacing="0" w:after="0" w:afterAutospacing="0"/>
        <w:jc w:val="both"/>
        <w:rPr>
          <w:rStyle w:val="18"/>
          <w:rFonts w:hint="default" w:cs="宋体"/>
          <w:b w:val="0"/>
          <w:bCs w:val="0"/>
          <w:color w:val="333333"/>
          <w:kern w:val="2"/>
          <w:sz w:val="21"/>
          <w:szCs w:val="21"/>
          <w:lang w:val="en-US" w:eastAsia="zh-CN" w:bidi="ar-SA"/>
        </w:rPr>
      </w:pPr>
      <w:r>
        <w:drawing>
          <wp:inline distT="0" distB="0" distL="114300" distR="114300">
            <wp:extent cx="5265420" cy="3002280"/>
            <wp:effectExtent l="0" t="0" r="1905" b="7620"/>
            <wp:docPr id="7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00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CCF17">
      <w:pPr>
        <w:pStyle w:val="15"/>
        <w:shd w:val="clear" w:color="auto" w:fill="FFFFFF"/>
        <w:spacing w:before="0" w:beforeAutospacing="0" w:after="0" w:afterAutospacing="0"/>
        <w:jc w:val="both"/>
        <w:rPr>
          <w:rStyle w:val="18"/>
          <w:rFonts w:hint="default" w:ascii="宋体" w:hAnsi="宋体" w:eastAsia="宋体" w:cs="宋体"/>
          <w:b w:val="0"/>
          <w:bCs w:val="0"/>
          <w:color w:val="333333"/>
          <w:kern w:val="2"/>
          <w:sz w:val="21"/>
          <w:szCs w:val="21"/>
          <w:lang w:val="en-US" w:eastAsia="zh-CN" w:bidi="ar-SA"/>
        </w:rPr>
      </w:pPr>
    </w:p>
    <w:p w14:paraId="7110F88C">
      <w:pPr>
        <w:pStyle w:val="15"/>
        <w:numPr>
          <w:ilvl w:val="0"/>
          <w:numId w:val="0"/>
        </w:numPr>
        <w:shd w:val="clear" w:color="auto" w:fill="FFFFFF"/>
        <w:spacing w:before="0" w:beforeAutospacing="0" w:after="0" w:afterAutospacing="0"/>
        <w:jc w:val="both"/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2844800"/>
            <wp:effectExtent l="0" t="0" r="3810" b="3175"/>
            <wp:docPr id="4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8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E760E">
      <w:pPr>
        <w:ind w:left="420" w:leftChars="0"/>
        <w:rPr>
          <w:rStyle w:val="18"/>
          <w:rFonts w:hint="eastAsia" w:cs="宋体"/>
          <w:b w:val="0"/>
          <w:bCs w:val="0"/>
          <w:color w:val="333333"/>
          <w:kern w:val="2"/>
          <w:sz w:val="21"/>
          <w:szCs w:val="21"/>
          <w:lang w:val="en-US" w:eastAsia="zh-CN" w:bidi="ar-SA"/>
        </w:rPr>
      </w:pPr>
      <w:r>
        <w:rPr>
          <w:rStyle w:val="18"/>
          <w:rFonts w:hint="eastAsia" w:cs="宋体"/>
          <w:b w:val="0"/>
          <w:bCs w:val="0"/>
          <w:color w:val="333333"/>
          <w:kern w:val="2"/>
          <w:sz w:val="21"/>
          <w:szCs w:val="21"/>
          <w:lang w:val="en-US" w:eastAsia="zh-CN" w:bidi="ar-SA"/>
        </w:rPr>
        <w:t>已注册的委托方可采用账号密码和手机/证件号码两种方式进行登录。</w:t>
      </w:r>
    </w:p>
    <w:p w14:paraId="5F9ADE42">
      <w:pPr>
        <w:ind w:left="420" w:leftChars="0"/>
        <w:rPr>
          <w:rStyle w:val="18"/>
          <w:rFonts w:hint="eastAsia" w:ascii="宋体" w:hAnsi="宋体" w:eastAsia="宋体" w:cs="宋体"/>
          <w:b w:val="0"/>
          <w:bCs w:val="0"/>
          <w:color w:val="333333"/>
          <w:kern w:val="2"/>
          <w:sz w:val="21"/>
          <w:szCs w:val="21"/>
          <w:lang w:val="en-US" w:eastAsia="zh-CN" w:bidi="ar-SA"/>
        </w:rPr>
      </w:pPr>
    </w:p>
    <w:p w14:paraId="5AC65D20">
      <w:pPr>
        <w:ind w:left="420" w:leftChars="0"/>
        <w:rPr>
          <w:rStyle w:val="18"/>
          <w:rFonts w:hint="default" w:ascii="宋体" w:hAnsi="宋体" w:eastAsia="宋体" w:cs="宋体"/>
          <w:b w:val="0"/>
          <w:bCs w:val="0"/>
          <w:color w:val="333333"/>
          <w:kern w:val="2"/>
          <w:sz w:val="21"/>
          <w:szCs w:val="21"/>
          <w:lang w:val="en-US" w:eastAsia="zh-CN" w:bidi="ar-SA"/>
        </w:rPr>
      </w:pPr>
      <w:r>
        <w:rPr>
          <w:rStyle w:val="18"/>
          <w:rFonts w:hint="eastAsia" w:ascii="宋体" w:hAnsi="宋体" w:cs="宋体"/>
          <w:b w:val="0"/>
          <w:bCs w:val="0"/>
          <w:color w:val="333333"/>
          <w:kern w:val="2"/>
          <w:sz w:val="21"/>
          <w:szCs w:val="21"/>
          <w:lang w:val="en-US" w:eastAsia="zh-CN" w:bidi="ar-SA"/>
        </w:rPr>
        <w:t>2）登录成功后，会重新跳转到网站首页，</w:t>
      </w:r>
      <w:r>
        <w:rPr>
          <w:rStyle w:val="18"/>
          <w:rFonts w:hint="eastAsia" w:ascii="宋体" w:hAnsi="宋体" w:eastAsia="宋体" w:cs="宋体"/>
          <w:b w:val="0"/>
          <w:bCs w:val="0"/>
          <w:color w:val="333333"/>
          <w:sz w:val="21"/>
          <w:szCs w:val="21"/>
        </w:rPr>
        <w:t>点击</w:t>
      </w:r>
      <w:r>
        <w:rPr>
          <w:rStyle w:val="18"/>
          <w:rFonts w:hint="eastAsia" w:ascii="宋体" w:hAnsi="宋体" w:eastAsia="宋体" w:cs="宋体"/>
          <w:b w:val="0"/>
          <w:bCs w:val="0"/>
          <w:color w:val="333333"/>
          <w:sz w:val="21"/>
          <w:szCs w:val="21"/>
          <w:lang w:val="en-US" w:eastAsia="zh-CN"/>
        </w:rPr>
        <w:t>首页</w:t>
      </w:r>
      <w:r>
        <w:rPr>
          <w:rStyle w:val="18"/>
          <w:rFonts w:hint="eastAsia" w:ascii="宋体" w:hAnsi="宋体" w:cs="宋体"/>
          <w:b w:val="0"/>
          <w:bCs w:val="0"/>
          <w:color w:val="333333"/>
          <w:sz w:val="21"/>
          <w:szCs w:val="21"/>
          <w:lang w:val="en-US" w:eastAsia="zh-CN"/>
        </w:rPr>
        <w:t>“阳光招商招租服务平台”进入新平台</w:t>
      </w:r>
      <w:r>
        <w:rPr>
          <w:rStyle w:val="18"/>
          <w:rFonts w:hint="eastAsia" w:cs="宋体"/>
          <w:b w:val="0"/>
          <w:bCs w:val="0"/>
          <w:color w:val="333333"/>
          <w:sz w:val="21"/>
          <w:szCs w:val="21"/>
          <w:lang w:val="en-US" w:eastAsia="zh-CN"/>
        </w:rPr>
        <w:t>，</w:t>
      </w:r>
      <w:r>
        <w:rPr>
          <w:rStyle w:val="18"/>
          <w:rFonts w:hint="eastAsia" w:ascii="宋体" w:hAnsi="宋体" w:cs="宋体"/>
          <w:b w:val="0"/>
          <w:bCs w:val="0"/>
          <w:color w:val="333333"/>
          <w:kern w:val="2"/>
          <w:sz w:val="21"/>
          <w:szCs w:val="21"/>
          <w:lang w:val="en-US" w:eastAsia="zh-CN" w:bidi="ar-SA"/>
        </w:rPr>
        <w:t>如下图所示：</w:t>
      </w:r>
    </w:p>
    <w:p w14:paraId="26F97059">
      <w:pPr>
        <w:ind w:left="420" w:leftChars="0"/>
      </w:pPr>
    </w:p>
    <w:p w14:paraId="6EC51B30">
      <w:pPr>
        <w:pStyle w:val="15"/>
        <w:numPr>
          <w:ilvl w:val="0"/>
          <w:numId w:val="0"/>
        </w:numPr>
        <w:shd w:val="clear" w:color="auto" w:fill="FFFFFF"/>
        <w:spacing w:before="0" w:beforeAutospacing="0" w:after="0" w:afterAutospacing="0"/>
        <w:jc w:val="both"/>
      </w:pPr>
      <w:r>
        <w:drawing>
          <wp:inline distT="0" distB="0" distL="114300" distR="114300">
            <wp:extent cx="5260340" cy="2815590"/>
            <wp:effectExtent l="0" t="0" r="6985" b="3810"/>
            <wp:docPr id="5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1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BD1B5">
      <w:pPr>
        <w:ind w:left="420" w:leftChars="0"/>
        <w:rPr>
          <w:rFonts w:hint="eastAsia"/>
          <w:lang w:val="en-US" w:eastAsia="zh-CN"/>
        </w:rPr>
      </w:pPr>
    </w:p>
    <w:p w14:paraId="3DFFB3CE">
      <w:pPr>
        <w:ind w:left="420"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温馨提示：</w:t>
      </w:r>
    </w:p>
    <w:p w14:paraId="16FD7DBF">
      <w:pPr>
        <w:ind w:left="840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若登录成功后跳转的页面是老系统的用户中心，可以点击“首页”按钮跳转回网站首页，然后点击进入新平台。</w:t>
      </w:r>
    </w:p>
    <w:p w14:paraId="7E984682">
      <w:pPr>
        <w:pStyle w:val="15"/>
        <w:numPr>
          <w:ilvl w:val="0"/>
          <w:numId w:val="0"/>
        </w:numPr>
        <w:shd w:val="clear" w:color="auto" w:fill="FFFFFF"/>
        <w:spacing w:before="0" w:beforeAutospacing="0" w:after="0" w:afterAutospacing="0"/>
        <w:jc w:val="both"/>
        <w:rPr>
          <w:rFonts w:hint="eastAsia"/>
          <w:lang w:val="en-US" w:eastAsia="zh-CN"/>
        </w:rPr>
      </w:pPr>
      <w:r>
        <w:drawing>
          <wp:inline distT="0" distB="0" distL="114300" distR="114300">
            <wp:extent cx="5252720" cy="2924810"/>
            <wp:effectExtent l="0" t="0" r="5080" b="8890"/>
            <wp:docPr id="7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2720" cy="292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11490">
      <w:pPr>
        <w:numPr>
          <w:ilvl w:val="0"/>
          <w:numId w:val="4"/>
        </w:numPr>
        <w:ind w:left="840" w:leftChars="0"/>
        <w:rPr>
          <w:rStyle w:val="18"/>
          <w:rFonts w:hint="eastAsia" w:ascii="Times New Roman" w:hAnsi="Times New Roman" w:eastAsia="宋体" w:cs="宋体"/>
          <w:b w:val="0"/>
          <w:bCs w:val="0"/>
          <w:color w:val="333333"/>
          <w:kern w:val="0"/>
          <w:sz w:val="21"/>
          <w:szCs w:val="21"/>
          <w:lang w:val="en-US" w:eastAsia="zh-CN" w:bidi="ar-SA"/>
        </w:rPr>
      </w:pPr>
      <w:r>
        <w:rPr>
          <w:rStyle w:val="18"/>
          <w:rFonts w:hint="eastAsia" w:ascii="Times New Roman" w:hAnsi="Times New Roman" w:eastAsia="宋体" w:cs="宋体"/>
          <w:b w:val="0"/>
          <w:bCs w:val="0"/>
          <w:color w:val="333333"/>
          <w:kern w:val="0"/>
          <w:sz w:val="21"/>
          <w:szCs w:val="21"/>
          <w:lang w:val="en-US" w:eastAsia="zh-CN" w:bidi="ar-SA"/>
        </w:rPr>
        <w:t>进入新平台后，在</w:t>
      </w:r>
      <w:r>
        <w:rPr>
          <w:rStyle w:val="18"/>
          <w:rFonts w:hint="eastAsia" w:cs="宋体"/>
          <w:b w:val="0"/>
          <w:bCs w:val="0"/>
          <w:color w:val="333333"/>
          <w:kern w:val="0"/>
          <w:sz w:val="21"/>
          <w:szCs w:val="21"/>
          <w:lang w:val="en-US" w:eastAsia="zh-CN" w:bidi="ar-SA"/>
        </w:rPr>
        <w:t>“</w:t>
      </w:r>
      <w:r>
        <w:rPr>
          <w:rStyle w:val="18"/>
          <w:rFonts w:hint="eastAsia" w:ascii="Times New Roman" w:hAnsi="Times New Roman" w:eastAsia="宋体" w:cs="宋体"/>
          <w:b w:val="0"/>
          <w:bCs w:val="0"/>
          <w:color w:val="333333"/>
          <w:kern w:val="0"/>
          <w:sz w:val="21"/>
          <w:szCs w:val="21"/>
          <w:lang w:val="en-US" w:eastAsia="zh-CN" w:bidi="ar-SA"/>
        </w:rPr>
        <w:t>用户入口</w:t>
      </w:r>
      <w:r>
        <w:rPr>
          <w:rStyle w:val="18"/>
          <w:rFonts w:hint="eastAsia" w:cs="宋体"/>
          <w:b w:val="0"/>
          <w:bCs w:val="0"/>
          <w:color w:val="333333"/>
          <w:kern w:val="0"/>
          <w:sz w:val="21"/>
          <w:szCs w:val="21"/>
          <w:lang w:val="en-US" w:eastAsia="zh-CN" w:bidi="ar-SA"/>
        </w:rPr>
        <w:t>”</w:t>
      </w:r>
      <w:r>
        <w:rPr>
          <w:rStyle w:val="18"/>
          <w:rFonts w:hint="eastAsia" w:ascii="Times New Roman" w:hAnsi="Times New Roman" w:eastAsia="宋体" w:cs="宋体"/>
          <w:b w:val="0"/>
          <w:bCs w:val="0"/>
          <w:color w:val="333333"/>
          <w:kern w:val="0"/>
          <w:sz w:val="21"/>
          <w:szCs w:val="21"/>
          <w:lang w:val="en-US" w:eastAsia="zh-CN" w:bidi="ar-SA"/>
        </w:rPr>
        <w:t>处选择“委托方入口”后，进入委托方用户中心，如下图所示：</w:t>
      </w:r>
    </w:p>
    <w:p w14:paraId="3898AAB4"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8595" cy="2957195"/>
            <wp:effectExtent l="0" t="0" r="8255" b="5080"/>
            <wp:docPr id="6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5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0D93F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</w:t>
      </w:r>
      <w:r>
        <w:drawing>
          <wp:inline distT="0" distB="0" distL="114300" distR="114300">
            <wp:extent cx="5257165" cy="2971800"/>
            <wp:effectExtent l="0" t="0" r="635" b="0"/>
            <wp:docPr id="6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F6D7E">
      <w:pPr>
        <w:pStyle w:val="12"/>
        <w:ind w:left="420" w:leftChars="0"/>
        <w:rPr>
          <w:rFonts w:hint="eastAsia"/>
          <w:lang w:val="en-US" w:eastAsia="zh-CN"/>
        </w:rPr>
      </w:pPr>
    </w:p>
    <w:p w14:paraId="56FF306D">
      <w:pPr>
        <w:pStyle w:val="3"/>
        <w:rPr>
          <w:rFonts w:hint="default"/>
          <w:lang w:val="en-US" w:eastAsia="zh-CN"/>
        </w:rPr>
      </w:pPr>
      <w:bookmarkStart w:id="4" w:name="_Toc20371"/>
      <w:r>
        <w:rPr>
          <w:rFonts w:hint="eastAsia"/>
          <w:lang w:val="en-US" w:eastAsia="zh-CN"/>
        </w:rPr>
        <w:t>完善并申请成为委托方</w:t>
      </w:r>
      <w:bookmarkEnd w:id="4"/>
    </w:p>
    <w:p w14:paraId="7AB194FD">
      <w:pPr>
        <w:keepNext w:val="0"/>
        <w:keepLines w:val="0"/>
        <w:widowControl w:val="0"/>
        <w:suppressLineNumbers w:val="0"/>
        <w:spacing w:before="0" w:beforeAutospacing="0" w:after="0" w:afterAutospacing="0"/>
        <w:ind w:right="0"/>
        <w:jc w:val="both"/>
        <w:rPr>
          <w:rFonts w:hint="default" w:cs="Times New Roman"/>
          <w:kern w:val="2"/>
          <w:sz w:val="21"/>
          <w:szCs w:val="20"/>
          <w:lang w:val="en-US" w:eastAsia="zh-CN" w:bidi="ar-SA"/>
        </w:rPr>
      </w:pPr>
      <w:r>
        <w:rPr>
          <w:rFonts w:hint="eastAsia" w:cs="Times New Roman"/>
          <w:kern w:val="2"/>
          <w:sz w:val="21"/>
          <w:szCs w:val="20"/>
          <w:lang w:val="en-US" w:eastAsia="zh-CN" w:bidi="ar-SA"/>
        </w:rPr>
        <w:t>新注册的委托方用户，在首次使用委托方身份登录时，进入用户中心后，系统会提示需要完善委托方信息，按要求选择隶属关系，</w:t>
      </w:r>
      <w:r>
        <w:rPr>
          <w:rFonts w:hint="eastAsia"/>
          <w:lang w:val="en-US" w:eastAsia="zh-CN"/>
        </w:rPr>
        <w:t>补充企业信息、法人信息、监管信息（非必填，代理不需要填写），上传营业执照等附件材料后提交交易机构审核。</w:t>
      </w:r>
    </w:p>
    <w:p w14:paraId="1A2BDCB9">
      <w:pPr>
        <w:pStyle w:val="12"/>
      </w:pPr>
    </w:p>
    <w:p w14:paraId="530A34B1">
      <w:pPr>
        <w:pStyle w:val="12"/>
      </w:pPr>
      <w:r>
        <w:drawing>
          <wp:inline distT="0" distB="0" distL="114300" distR="114300">
            <wp:extent cx="5271135" cy="2864485"/>
            <wp:effectExtent l="0" t="0" r="5715" b="2540"/>
            <wp:docPr id="4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8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0F6B5">
      <w:pPr>
        <w:pStyle w:val="12"/>
      </w:pPr>
    </w:p>
    <w:p w14:paraId="4DE2BF94">
      <w:pPr>
        <w:pStyle w:val="12"/>
      </w:pPr>
      <w:r>
        <w:drawing>
          <wp:inline distT="0" distB="0" distL="114300" distR="114300">
            <wp:extent cx="5269865" cy="2454910"/>
            <wp:effectExtent l="0" t="0" r="6985" b="2540"/>
            <wp:docPr id="1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5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A3511">
      <w:pPr>
        <w:pStyle w:val="12"/>
        <w:ind w:left="420" w:leftChars="0"/>
      </w:pPr>
      <w:r>
        <w:rPr>
          <w:rFonts w:hint="eastAsia"/>
          <w:lang w:val="en-US" w:eastAsia="zh-CN"/>
        </w:rPr>
        <w:t>提交成功后，后台交易机构内部可以审核委托方资格，审核通过后该用户可具备项目委托资格。</w:t>
      </w:r>
    </w:p>
    <w:p w14:paraId="6BE8CA96">
      <w:pPr>
        <w:pStyle w:val="12"/>
        <w:ind w:left="420" w:leftChars="0"/>
        <w:rPr>
          <w:rFonts w:hint="eastAsia"/>
          <w:lang w:val="en-US" w:eastAsia="zh-CN"/>
        </w:rPr>
      </w:pPr>
    </w:p>
    <w:p w14:paraId="0828903F">
      <w:pPr>
        <w:keepNext w:val="0"/>
        <w:keepLines w:val="0"/>
        <w:widowControl w:val="0"/>
        <w:suppressLineNumbers w:val="0"/>
        <w:spacing w:before="0" w:beforeAutospacing="0" w:after="0" w:afterAutospacing="0"/>
        <w:ind w:right="0"/>
        <w:jc w:val="both"/>
      </w:pPr>
      <w:r>
        <w:drawing>
          <wp:inline distT="0" distB="0" distL="114300" distR="114300">
            <wp:extent cx="5274310" cy="2944495"/>
            <wp:effectExtent l="0" t="0" r="2540" b="8255"/>
            <wp:docPr id="2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7C8E8">
      <w:pPr>
        <w:pStyle w:val="12"/>
      </w:pPr>
    </w:p>
    <w:p w14:paraId="3DCDA5F3">
      <w:pPr>
        <w:pStyle w:val="12"/>
      </w:pPr>
      <w:r>
        <w:drawing>
          <wp:inline distT="0" distB="0" distL="114300" distR="114300">
            <wp:extent cx="5269230" cy="2955290"/>
            <wp:effectExtent l="0" t="0" r="7620" b="6985"/>
            <wp:docPr id="2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5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EA78E">
      <w:pPr>
        <w:pStyle w:val="12"/>
        <w:rPr>
          <w:rFonts w:hint="eastAsia"/>
          <w:lang w:val="en-US" w:eastAsia="zh-CN"/>
        </w:rPr>
      </w:pPr>
    </w:p>
    <w:p w14:paraId="24E727BE">
      <w:pPr>
        <w:pStyle w:val="12"/>
      </w:pPr>
    </w:p>
    <w:p w14:paraId="594FEB30">
      <w:pPr>
        <w:rPr>
          <w:rFonts w:hint="default"/>
          <w:lang w:val="en-US" w:eastAsia="zh-CN"/>
        </w:rPr>
      </w:pPr>
    </w:p>
    <w:p w14:paraId="2AB0F376"/>
    <w:p w14:paraId="7EA4FA29">
      <w:pPr>
        <w:pStyle w:val="2"/>
        <w:bidi w:val="0"/>
        <w:rPr>
          <w:rFonts w:hint="default"/>
          <w:lang w:val="en-US" w:eastAsia="zh-CN"/>
        </w:rPr>
      </w:pPr>
      <w:bookmarkStart w:id="5" w:name="_Toc14418"/>
      <w:r>
        <w:rPr>
          <w:rFonts w:hint="eastAsia"/>
          <w:lang w:val="en-US" w:eastAsia="zh-CN"/>
        </w:rPr>
        <w:t>资产管理</w:t>
      </w:r>
      <w:bookmarkEnd w:id="5"/>
    </w:p>
    <w:p w14:paraId="551D0B22">
      <w:pPr>
        <w:pStyle w:val="3"/>
        <w:rPr>
          <w:rFonts w:hint="default"/>
          <w:lang w:val="en-US" w:eastAsia="zh-CN"/>
        </w:rPr>
      </w:pPr>
      <w:bookmarkStart w:id="6" w:name="_Toc21763"/>
      <w:r>
        <w:rPr>
          <w:rFonts w:hint="eastAsia"/>
          <w:lang w:val="en-US" w:eastAsia="zh-CN"/>
        </w:rPr>
        <w:t>委托方资产管理</w:t>
      </w:r>
      <w:bookmarkEnd w:id="6"/>
    </w:p>
    <w:p w14:paraId="52CC6FB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委托方登录成功后，点击右上角的“委托方入口”进入委托方用户中心。</w:t>
      </w:r>
    </w:p>
    <w:p w14:paraId="4C6D5175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在左侧菜单栏中，点击“资产管理”可以管理该委托方名下的资产。</w:t>
      </w:r>
    </w:p>
    <w:p w14:paraId="3E9D6E38">
      <w:r>
        <w:drawing>
          <wp:inline distT="0" distB="0" distL="114300" distR="114300">
            <wp:extent cx="5274310" cy="2567305"/>
            <wp:effectExtent l="0" t="0" r="2540" b="4445"/>
            <wp:docPr id="5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6E821">
      <w:pPr>
        <w:pStyle w:val="12"/>
      </w:pPr>
    </w:p>
    <w:p w14:paraId="25184FFE">
      <w:pPr>
        <w:pStyle w:val="12"/>
        <w:rPr>
          <w:rFonts w:hint="default"/>
          <w:lang w:val="en-US" w:eastAsia="zh-CN"/>
        </w:rPr>
      </w:pPr>
      <w:r>
        <w:drawing>
          <wp:inline distT="0" distB="0" distL="114300" distR="114300">
            <wp:extent cx="5266055" cy="2554605"/>
            <wp:effectExtent l="0" t="0" r="1270" b="762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55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F60A0">
      <w:pPr>
        <w:rPr>
          <w:rFonts w:hint="eastAsia"/>
          <w:lang w:val="en-US" w:eastAsia="zh-CN"/>
        </w:rPr>
      </w:pPr>
    </w:p>
    <w:p w14:paraId="474E9C6D">
      <w:pPr>
        <w:ind w:left="420"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资产类型分为：土地、房屋、设备（机械设备、机动车、船舶、其它）。</w:t>
      </w:r>
    </w:p>
    <w:p w14:paraId="59EC0246">
      <w:pPr>
        <w:pStyle w:val="12"/>
        <w:ind w:left="420" w:leftChars="0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增加资产：</w:t>
      </w:r>
    </w:p>
    <w:p w14:paraId="4D134DD3">
      <w:pPr>
        <w:pStyle w:val="12"/>
        <w:ind w:left="420"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有两种方式，一种是通过下载模板后导入，适用于增加批量资产。</w:t>
      </w:r>
    </w:p>
    <w:p w14:paraId="2455FB49">
      <w:pPr>
        <w:pStyle w:val="12"/>
        <w:ind w:left="420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另一种是直接增加单个资产。点击“增加资产”，选择增加的资产类型，增加资产信息。</w:t>
      </w:r>
    </w:p>
    <w:p w14:paraId="35A62445">
      <w:pPr>
        <w:pStyle w:val="12"/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975985" cy="1455420"/>
            <wp:effectExtent l="0" t="0" r="5715" b="1905"/>
            <wp:docPr id="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75985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5F3458"/>
    <w:p w14:paraId="79FAE6A6">
      <w:pPr>
        <w:pStyle w:val="12"/>
      </w:pPr>
    </w:p>
    <w:p w14:paraId="34CEECA0">
      <w:pPr>
        <w:pStyle w:val="12"/>
      </w:pPr>
      <w:r>
        <w:drawing>
          <wp:inline distT="0" distB="0" distL="114300" distR="114300">
            <wp:extent cx="5269865" cy="2534920"/>
            <wp:effectExtent l="0" t="0" r="6985" b="825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53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27C6A">
      <w:pPr>
        <w:pStyle w:val="12"/>
        <w:ind w:left="420" w:leftChars="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填写资产信息后保存，资产列表中将产生一条新的资产。可以对资产进行查询、修改、删除、状态变更、查看交易记录等操作。</w:t>
      </w:r>
    </w:p>
    <w:p w14:paraId="7E78F877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3675" cy="2385060"/>
            <wp:effectExtent l="0" t="0" r="3175" b="5715"/>
            <wp:docPr id="2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43EFC">
      <w:pPr>
        <w:pStyle w:val="12"/>
        <w:rPr>
          <w:rFonts w:hint="default"/>
          <w:lang w:val="en-US" w:eastAsia="zh-CN"/>
        </w:rPr>
      </w:pPr>
    </w:p>
    <w:p w14:paraId="44C89EB2">
      <w:pPr>
        <w:pStyle w:val="2"/>
        <w:bidi w:val="0"/>
        <w:rPr>
          <w:rFonts w:hint="default"/>
          <w:lang w:val="en-US" w:eastAsia="zh-CN"/>
        </w:rPr>
      </w:pPr>
      <w:bookmarkStart w:id="7" w:name="_Toc21527"/>
      <w:r>
        <w:rPr>
          <w:rFonts w:hint="eastAsia"/>
          <w:lang w:val="en-US" w:eastAsia="zh-CN"/>
        </w:rPr>
        <w:t>资产租赁-项目委托</w:t>
      </w:r>
      <w:bookmarkEnd w:id="7"/>
    </w:p>
    <w:p w14:paraId="163736EC">
      <w:pPr>
        <w:pStyle w:val="3"/>
      </w:pPr>
      <w:bookmarkStart w:id="8" w:name="_Toc2452"/>
      <w:r>
        <w:rPr>
          <w:rFonts w:hint="eastAsia"/>
          <w:lang w:val="en-US" w:eastAsia="zh-CN"/>
        </w:rPr>
        <w:t>单租赁项目委托登记</w:t>
      </w:r>
      <w:bookmarkEnd w:id="8"/>
    </w:p>
    <w:p w14:paraId="4BE6D13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="宋体"/>
          <w:sz w:val="21"/>
          <w:szCs w:val="21"/>
          <w:lang w:val="en-US" w:eastAsia="zh-CN"/>
        </w:rPr>
      </w:pPr>
      <w:r>
        <w:rPr>
          <w:rFonts w:hint="eastAsia"/>
          <w:lang w:val="en-US" w:eastAsia="zh-CN"/>
        </w:rPr>
        <w:t>委托方进入用户中心后，点击“项目委托”，</w:t>
      </w:r>
      <w:r>
        <w:rPr>
          <w:rFonts w:hint="eastAsia"/>
          <w:sz w:val="21"/>
          <w:szCs w:val="21"/>
          <w:lang w:eastAsia="zh-CN"/>
        </w:rPr>
        <w:t>选择要</w:t>
      </w:r>
      <w:r>
        <w:rPr>
          <w:rFonts w:hint="eastAsia"/>
          <w:sz w:val="21"/>
          <w:szCs w:val="21"/>
          <w:lang w:val="en-US" w:eastAsia="zh-CN"/>
        </w:rPr>
        <w:t>委托</w:t>
      </w:r>
      <w:r>
        <w:rPr>
          <w:rFonts w:hint="eastAsia"/>
          <w:sz w:val="21"/>
          <w:szCs w:val="21"/>
          <w:lang w:eastAsia="zh-CN"/>
        </w:rPr>
        <w:t>的项目类</w:t>
      </w:r>
      <w:r>
        <w:rPr>
          <w:rFonts w:hint="eastAsia"/>
          <w:sz w:val="21"/>
          <w:szCs w:val="21"/>
          <w:lang w:val="en-US" w:eastAsia="zh-CN"/>
        </w:rPr>
        <w:t>型</w:t>
      </w:r>
      <w:r>
        <w:rPr>
          <w:rFonts w:hint="eastAsia"/>
          <w:sz w:val="21"/>
          <w:szCs w:val="21"/>
          <w:lang w:eastAsia="zh-CN"/>
        </w:rPr>
        <w:t>（</w:t>
      </w:r>
      <w:r>
        <w:rPr>
          <w:rFonts w:hint="eastAsia"/>
          <w:sz w:val="21"/>
          <w:szCs w:val="21"/>
          <w:lang w:val="en-US" w:eastAsia="zh-CN"/>
        </w:rPr>
        <w:t>资产租赁-单独处置</w:t>
      </w:r>
      <w:r>
        <w:rPr>
          <w:rFonts w:hint="eastAsia"/>
          <w:sz w:val="21"/>
          <w:szCs w:val="21"/>
          <w:lang w:eastAsia="zh-CN"/>
        </w:rPr>
        <w:t>），进入项目</w:t>
      </w:r>
      <w:r>
        <w:rPr>
          <w:rFonts w:hint="eastAsia"/>
          <w:sz w:val="21"/>
          <w:szCs w:val="21"/>
          <w:lang w:val="en-US" w:eastAsia="zh-CN"/>
        </w:rPr>
        <w:t>登记</w:t>
      </w:r>
      <w:r>
        <w:rPr>
          <w:rFonts w:hint="eastAsia"/>
          <w:sz w:val="21"/>
          <w:szCs w:val="21"/>
          <w:lang w:eastAsia="zh-CN"/>
        </w:rPr>
        <w:t>界面，如下图所示：</w:t>
      </w:r>
    </w:p>
    <w:p w14:paraId="57BBEF0F">
      <w:pPr>
        <w:rPr>
          <w:rFonts w:hint="default" w:eastAsia="宋体"/>
          <w:lang w:val="en-US" w:eastAsia="zh-CN"/>
        </w:rPr>
      </w:pPr>
    </w:p>
    <w:p w14:paraId="3797EE60">
      <w:r>
        <w:drawing>
          <wp:inline distT="0" distB="0" distL="114300" distR="114300">
            <wp:extent cx="5271135" cy="2839085"/>
            <wp:effectExtent l="0" t="0" r="5715" b="889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83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72AEB">
      <w:pPr>
        <w:pStyle w:val="12"/>
      </w:pPr>
      <w:r>
        <w:drawing>
          <wp:inline distT="0" distB="0" distL="114300" distR="114300">
            <wp:extent cx="5274310" cy="2432050"/>
            <wp:effectExtent l="0" t="0" r="2540" b="6350"/>
            <wp:docPr id="7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63006">
      <w:pPr>
        <w:pStyle w:val="1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lang w:val="en-US" w:eastAsia="zh-CN"/>
        </w:rPr>
        <w:t>（1）项目基本信息页面：</w:t>
      </w:r>
      <w:r>
        <w:rPr>
          <w:rFonts w:hint="eastAsia"/>
          <w:sz w:val="21"/>
          <w:szCs w:val="21"/>
          <w:lang w:val="en-US" w:eastAsia="zh-CN"/>
        </w:rPr>
        <w:t>选择出租标的类型，按要求填写出租项目基本信息（带</w:t>
      </w:r>
      <w:r>
        <w:rPr>
          <w:rFonts w:hint="eastAsia"/>
          <w:color w:val="FF0000"/>
          <w:sz w:val="21"/>
          <w:szCs w:val="21"/>
          <w:lang w:val="en-US" w:eastAsia="zh-CN"/>
        </w:rPr>
        <w:t>*</w:t>
      </w:r>
      <w:r>
        <w:rPr>
          <w:rFonts w:hint="eastAsia"/>
          <w:sz w:val="21"/>
          <w:szCs w:val="21"/>
          <w:lang w:val="en-US" w:eastAsia="zh-CN"/>
        </w:rPr>
        <w:t>号的是必填项），租期与租期截止日可选择一项填写。填写完成后点击【保存信息】，点击</w:t>
      </w:r>
      <w:r>
        <w:rPr>
          <w:rFonts w:hint="eastAsia"/>
          <w:color w:val="2E54A1" w:themeColor="accent1" w:themeShade="BF"/>
          <w:sz w:val="21"/>
          <w:szCs w:val="21"/>
          <w:lang w:val="en-US" w:eastAsia="zh-CN"/>
        </w:rPr>
        <w:t>②委托方基本信息</w:t>
      </w:r>
      <w:r>
        <w:rPr>
          <w:rFonts w:hint="eastAsia"/>
          <w:sz w:val="21"/>
          <w:szCs w:val="21"/>
          <w:lang w:val="en-US" w:eastAsia="zh-CN"/>
        </w:rPr>
        <w:t>进入委托方基本信息录入页面。</w:t>
      </w:r>
    </w:p>
    <w:p w14:paraId="261F2C0E">
      <w:pPr>
        <w:pStyle w:val="12"/>
        <w:numPr>
          <w:ilvl w:val="0"/>
          <w:numId w:val="5"/>
        </w:numPr>
        <w:ind w:left="0" w:leftChars="0" w:firstLine="420" w:firstLineChars="0"/>
      </w:pPr>
      <w:r>
        <w:rPr>
          <w:rFonts w:hint="eastAsia"/>
          <w:sz w:val="21"/>
          <w:szCs w:val="21"/>
          <w:lang w:val="en-US" w:eastAsia="zh-CN"/>
        </w:rPr>
        <w:t>委托方基本信息页面，如下图所示：</w:t>
      </w:r>
    </w:p>
    <w:p w14:paraId="721ED247">
      <w:pPr>
        <w:pStyle w:val="12"/>
        <w:numPr>
          <w:ilvl w:val="0"/>
          <w:numId w:val="0"/>
        </w:numPr>
        <w:ind w:left="420" w:leftChars="0"/>
      </w:pPr>
      <w:r>
        <w:drawing>
          <wp:inline distT="0" distB="0" distL="114300" distR="114300">
            <wp:extent cx="5269230" cy="2581275"/>
            <wp:effectExtent l="0" t="0" r="7620" b="0"/>
            <wp:docPr id="7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DAC5A">
      <w:pPr>
        <w:pStyle w:val="11"/>
        <w:bidi w:val="0"/>
        <w:rPr>
          <w:rFonts w:hint="eastAsia"/>
          <w:lang w:eastAsia="zh-CN"/>
        </w:rPr>
      </w:pPr>
      <w:r>
        <w:rPr>
          <w:rFonts w:hint="eastAsia"/>
          <w:lang w:val="en-US" w:eastAsia="zh-CN"/>
        </w:rPr>
        <w:t xml:space="preserve"> 资产信息录入</w:t>
      </w:r>
    </w:p>
    <w:p w14:paraId="59F126DC">
      <w:pPr>
        <w:pStyle w:val="1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委托方页面中会自动加载委托方基本信息以及联系方式、价款划付银行信息、开票信息等，若未提前录入相关信息，则需要手动补充。</w:t>
      </w:r>
    </w:p>
    <w:p w14:paraId="54B49F5C">
      <w:pPr>
        <w:pStyle w:val="1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default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补充银行划付信息：</w:t>
      </w:r>
    </w:p>
    <w:p w14:paraId="78A370F8">
      <w:pPr>
        <w:pStyle w:val="1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</w:pPr>
      <w:r>
        <w:drawing>
          <wp:inline distT="0" distB="0" distL="114300" distR="114300">
            <wp:extent cx="5266055" cy="1773555"/>
            <wp:effectExtent l="0" t="0" r="0" b="0"/>
            <wp:docPr id="3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6"/>
                    <pic:cNvPicPr>
                      <a:picLocks noChangeAspect="1"/>
                    </pic:cNvPicPr>
                  </pic:nvPicPr>
                  <pic:blipFill>
                    <a:blip r:embed="rId27"/>
                    <a:srcRect t="3157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77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271A4">
      <w:pPr>
        <w:pStyle w:val="1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</w:pPr>
    </w:p>
    <w:p w14:paraId="5274D469">
      <w:pPr>
        <w:pStyle w:val="1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补充发票抬头信息：</w:t>
      </w:r>
    </w:p>
    <w:p w14:paraId="18A622ED">
      <w:pPr>
        <w:pStyle w:val="1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71135" cy="2404110"/>
            <wp:effectExtent l="0" t="0" r="5715" b="5715"/>
            <wp:docPr id="4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0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D1366">
      <w:pPr>
        <w:pStyle w:val="1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/>
          <w:lang w:val="en-US" w:eastAsia="zh-CN"/>
        </w:rPr>
      </w:pPr>
    </w:p>
    <w:p w14:paraId="0666B7D5">
      <w:pPr>
        <w:pStyle w:val="1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default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填写完毕后，点击【保存信息】保存委托方信息。点击</w:t>
      </w:r>
      <w:r>
        <w:rPr>
          <w:rFonts w:hint="eastAsia"/>
          <w:color w:val="2E54A1" w:themeColor="accent1" w:themeShade="BF"/>
          <w:sz w:val="21"/>
          <w:szCs w:val="21"/>
          <w:lang w:val="en-US" w:eastAsia="zh-CN"/>
        </w:rPr>
        <w:t>③资产信息</w:t>
      </w:r>
      <w:r>
        <w:rPr>
          <w:rFonts w:hint="eastAsia"/>
          <w:sz w:val="21"/>
          <w:szCs w:val="21"/>
          <w:lang w:val="en-US" w:eastAsia="zh-CN"/>
        </w:rPr>
        <w:t>进入第三步资产信息的录入页面。</w:t>
      </w:r>
    </w:p>
    <w:p w14:paraId="2D5B764C">
      <w:pPr>
        <w:pStyle w:val="12"/>
        <w:numPr>
          <w:ilvl w:val="0"/>
          <w:numId w:val="5"/>
        </w:numPr>
        <w:ind w:left="0" w:leftChars="0" w:firstLine="420" w:firstLineChars="0"/>
        <w:rPr>
          <w:rFonts w:hint="default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资产信息页面，如下图所示：</w:t>
      </w:r>
    </w:p>
    <w:p w14:paraId="4ED24826">
      <w:pPr>
        <w:pStyle w:val="12"/>
        <w:numPr>
          <w:ilvl w:val="0"/>
          <w:numId w:val="0"/>
        </w:numPr>
        <w:ind w:left="420" w:leftChars="0"/>
        <w:rPr>
          <w:rFonts w:hint="default"/>
          <w:lang w:val="en-US" w:eastAsia="zh-CN"/>
        </w:rPr>
      </w:pPr>
    </w:p>
    <w:p w14:paraId="10CC8B08">
      <w:pPr>
        <w:pStyle w:val="12"/>
        <w:numPr>
          <w:ilvl w:val="0"/>
          <w:numId w:val="0"/>
        </w:numPr>
      </w:pPr>
      <w:r>
        <w:drawing>
          <wp:inline distT="0" distB="0" distL="114300" distR="114300">
            <wp:extent cx="5269230" cy="1469390"/>
            <wp:effectExtent l="0" t="0" r="7620" b="6985"/>
            <wp:docPr id="4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46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C5BD1">
      <w:pPr>
        <w:pStyle w:val="12"/>
        <w:numPr>
          <w:ilvl w:val="0"/>
          <w:numId w:val="0"/>
        </w:numPr>
        <w:ind w:firstLine="420" w:firstLineChars="0"/>
      </w:pPr>
    </w:p>
    <w:p w14:paraId="2B4B102F">
      <w:pPr>
        <w:pStyle w:val="11"/>
        <w:bidi w:val="0"/>
        <w:jc w:val="both"/>
        <w:rPr>
          <w:rFonts w:hint="default" w:ascii="Times New Roman" w:hAnsi="Times New Roman" w:eastAsia="宋体" w:cs="Times New Roman"/>
          <w:kern w:val="2"/>
          <w:sz w:val="21"/>
          <w:szCs w:val="20"/>
          <w:lang w:val="en-US" w:eastAsia="zh-CN" w:bidi="ar-SA"/>
        </w:rPr>
      </w:pPr>
      <w:r>
        <w:rPr>
          <w:rFonts w:hint="eastAsia" w:ascii="Times New Roman" w:hAnsi="Times New Roman" w:eastAsia="宋体" w:cs="Times New Roman"/>
          <w:kern w:val="2"/>
          <w:sz w:val="21"/>
          <w:szCs w:val="20"/>
          <w:lang w:val="en-US" w:eastAsia="zh-CN" w:bidi="ar-SA"/>
        </w:rPr>
        <w:t>点击“导入资产”后，导入列表中展示本企业下的资产，勾选一个或多个资产后，点击导入按钮导入资产信息，导入成功后会在列表中展示，系统会自动累计出租面积。</w:t>
      </w:r>
    </w:p>
    <w:p w14:paraId="57C63B0F">
      <w:r>
        <w:drawing>
          <wp:inline distT="0" distB="0" distL="114300" distR="114300">
            <wp:extent cx="5273040" cy="2607310"/>
            <wp:effectExtent l="0" t="0" r="3810" b="2540"/>
            <wp:docPr id="4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0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4D053">
      <w:pPr>
        <w:pStyle w:val="12"/>
      </w:pPr>
      <w:r>
        <w:drawing>
          <wp:inline distT="0" distB="0" distL="114300" distR="114300">
            <wp:extent cx="5270500" cy="1242695"/>
            <wp:effectExtent l="0" t="0" r="6350" b="5080"/>
            <wp:docPr id="2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24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4B559">
      <w:pPr>
        <w:pStyle w:val="12"/>
        <w:ind w:left="420" w:leftChars="0"/>
        <w:rPr>
          <w:rFonts w:hint="default" w:eastAsia="宋体"/>
          <w:lang w:val="en-US" w:eastAsia="zh-CN"/>
        </w:rPr>
      </w:pPr>
    </w:p>
    <w:p w14:paraId="595266A8">
      <w:pPr>
        <w:pStyle w:val="12"/>
        <w:ind w:left="420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在资产后面操作栏中可以修改单元信息，包括物业管理、VR地址、视频地址、出租使用用途要求、清场时间。若需要删除单元信息，则点击“删除”按钮删除即可。</w:t>
      </w:r>
    </w:p>
    <w:p w14:paraId="0E18EF35">
      <w:pPr>
        <w:pStyle w:val="12"/>
        <w:rPr>
          <w:rFonts w:hint="default"/>
          <w:lang w:val="en-US" w:eastAsia="zh-CN"/>
        </w:rPr>
      </w:pPr>
      <w:r>
        <w:drawing>
          <wp:inline distT="0" distB="0" distL="114300" distR="114300">
            <wp:extent cx="5273040" cy="2004060"/>
            <wp:effectExtent l="0" t="0" r="3810" b="5715"/>
            <wp:docPr id="2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0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73EA4">
      <w:pPr>
        <w:pStyle w:val="12"/>
        <w:ind w:left="420" w:leftChars="0"/>
        <w:rPr>
          <w:rFonts w:hint="eastAsia"/>
          <w:lang w:eastAsia="zh-CN"/>
        </w:rPr>
      </w:pPr>
    </w:p>
    <w:p w14:paraId="063F4C1D">
      <w:pPr>
        <w:pStyle w:val="1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信息填写完成后，点击【保存信息】将录入的资产相关信息保存，点击</w:t>
      </w:r>
      <w:r>
        <w:rPr>
          <w:rFonts w:hint="eastAsia"/>
          <w:color w:val="2E54A1" w:themeColor="accent1" w:themeShade="BF"/>
          <w:sz w:val="21"/>
          <w:szCs w:val="21"/>
          <w:lang w:val="en-US" w:eastAsia="zh-CN"/>
        </w:rPr>
        <w:t>④披露信息</w:t>
      </w:r>
      <w:r>
        <w:rPr>
          <w:rFonts w:hint="eastAsia"/>
          <w:sz w:val="21"/>
          <w:szCs w:val="21"/>
          <w:lang w:val="en-US" w:eastAsia="zh-CN"/>
        </w:rPr>
        <w:t>进入第四步披露信息的录入页面。</w:t>
      </w:r>
    </w:p>
    <w:p w14:paraId="38A3B929">
      <w:pPr>
        <w:pStyle w:val="12"/>
        <w:numPr>
          <w:ilvl w:val="0"/>
          <w:numId w:val="5"/>
        </w:numPr>
        <w:ind w:left="0" w:leftChars="0" w:firstLine="420" w:firstLineChars="0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披露信息页面，填写挂牌规则、披露信息、保证金规则、交易条件。</w:t>
      </w:r>
    </w:p>
    <w:p w14:paraId="25FA61C1">
      <w:r>
        <w:drawing>
          <wp:inline distT="0" distB="0" distL="114300" distR="114300">
            <wp:extent cx="5271770" cy="2963545"/>
            <wp:effectExtent l="0" t="0" r="5080" b="8255"/>
            <wp:docPr id="2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96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23438">
      <w:pPr>
        <w:pStyle w:val="12"/>
      </w:pPr>
      <w:r>
        <w:drawing>
          <wp:inline distT="0" distB="0" distL="114300" distR="114300">
            <wp:extent cx="5269230" cy="3842385"/>
            <wp:effectExtent l="0" t="0" r="7620" b="5715"/>
            <wp:docPr id="2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84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7F56A">
      <w:pPr>
        <w:pStyle w:val="11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</w:p>
    <w:p w14:paraId="0A0F19CE">
      <w:pPr>
        <w:pStyle w:val="1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420" w:leftChars="0" w:firstLine="420" w:firstLineChars="0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是否动态报价选择“是”</w:t>
      </w:r>
    </w:p>
    <w:p w14:paraId="3653775C">
      <w:pPr>
        <w:pStyle w:val="1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420" w:leftChars="0" w:firstLine="420" w:firstLineChars="0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采用动态报价时，竞买人报名缴纳后即可进行报价，在整个公告期都可以自由的报价。通过这种方式竞价时期较长，适合价格不太高的、比较活跃、参与人数较多的标的。</w:t>
      </w:r>
    </w:p>
    <w:p w14:paraId="5F37C83A">
      <w:pPr>
        <w:pStyle w:val="1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420" w:leftChars="0" w:firstLine="420" w:firstLineChars="0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是否动态报价选择“否”</w:t>
      </w:r>
    </w:p>
    <w:p w14:paraId="4521C806">
      <w:pPr>
        <w:pStyle w:val="1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420" w:leftChars="0" w:firstLine="420" w:firstLineChars="0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采用网络竞价时，项目挂牌后征集意向方，在整个挂牌期，征集到两个及以上受让方时，在摘牌后组织网络竞价，竞买人在报价期内可以正常报价。相比动态报价，网络竞价时间相对较短，可用于所有标的类型；</w:t>
      </w:r>
    </w:p>
    <w:p w14:paraId="013E3349">
      <w:pPr>
        <w:pStyle w:val="1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420" w:leftChars="0" w:firstLine="420" w:firstLineChars="0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采用招投标、拍卖、其它（综合评审）时，线下组织交易线上录入成交结果。</w:t>
      </w:r>
    </w:p>
    <w:p w14:paraId="15F9F983">
      <w:pPr>
        <w:pStyle w:val="1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420" w:leftChars="0" w:firstLine="420" w:firstLineChars="0"/>
        <w:textAlignment w:val="auto"/>
        <w:rPr>
          <w:rFonts w:hint="default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延牌设置：</w:t>
      </w:r>
      <w:r>
        <w:rPr>
          <w:rFonts w:hint="eastAsia"/>
          <w:b w:val="0"/>
          <w:bCs w:val="0"/>
          <w:sz w:val="21"/>
          <w:szCs w:val="21"/>
          <w:lang w:val="en-US" w:eastAsia="zh-CN"/>
        </w:rPr>
        <w:t>挂牌期满后征集到符合条件的意向方未达到要求时，选择延牌时可设置延牌规则、延牌周期、最多延牌次数</w:t>
      </w:r>
    </w:p>
    <w:p w14:paraId="3185A3D0">
      <w:pPr>
        <w:pStyle w:val="1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</w:pPr>
      <w:r>
        <w:drawing>
          <wp:inline distT="0" distB="0" distL="114300" distR="114300">
            <wp:extent cx="5129530" cy="1691005"/>
            <wp:effectExtent l="0" t="0" r="4445" b="4445"/>
            <wp:docPr id="49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B37A9">
      <w:pPr>
        <w:pStyle w:val="11"/>
        <w:bidi w:val="0"/>
        <w:ind w:left="420" w:leftChars="0"/>
        <w:jc w:val="both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征集到一个承租方采用的交易方式：</w:t>
      </w:r>
      <w:r>
        <w:rPr>
          <w:rFonts w:hint="eastAsia"/>
          <w:sz w:val="21"/>
          <w:szCs w:val="21"/>
          <w:lang w:val="en-US" w:eastAsia="zh-CN"/>
        </w:rPr>
        <w:t>可选择的交易方式有网络竞价（一次报价）、协议转让和其他。</w:t>
      </w:r>
    </w:p>
    <w:p w14:paraId="2A1ECD16">
      <w:pPr>
        <w:ind w:left="420" w:leftChars="0"/>
        <w:rPr>
          <w:rFonts w:hint="default"/>
          <w:lang w:val="en-US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征集到两个以及上承租方采用的交易方式：</w:t>
      </w:r>
      <w:r>
        <w:rPr>
          <w:rFonts w:hint="eastAsia" w:ascii="Arial" w:hAnsi="Arial" w:eastAsia="宋体" w:cs="Arial"/>
          <w:kern w:val="2"/>
          <w:sz w:val="21"/>
          <w:szCs w:val="21"/>
          <w:lang w:val="en-US" w:eastAsia="zh-CN" w:bidi="ar-SA"/>
        </w:rPr>
        <w:t>可选择的交易方式</w:t>
      </w:r>
      <w:r>
        <w:rPr>
          <w:rFonts w:hint="eastAsia" w:ascii="Arial" w:hAnsi="Arial" w:cs="Arial"/>
          <w:kern w:val="2"/>
          <w:sz w:val="21"/>
          <w:szCs w:val="21"/>
          <w:lang w:val="en-US" w:eastAsia="zh-CN" w:bidi="ar-SA"/>
        </w:rPr>
        <w:t>为网络竞价（多次竞价、一次报价）、综合评议、招投标、拍卖、其他。</w:t>
      </w:r>
    </w:p>
    <w:p w14:paraId="53E46ABF">
      <w:pPr>
        <w:pStyle w:val="12"/>
      </w:pPr>
    </w:p>
    <w:p w14:paraId="79FA1EB2">
      <w:pPr>
        <w:pStyle w:val="11"/>
        <w:ind w:left="420" w:leftChars="0" w:firstLine="420" w:firstLineChars="0"/>
        <w:jc w:val="both"/>
        <w:rPr>
          <w:rFonts w:hint="default" w:eastAsia="黑体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kern w:val="2"/>
          <w:sz w:val="21"/>
          <w:szCs w:val="21"/>
          <w:lang w:val="en-US" w:eastAsia="zh-CN" w:bidi="ar-SA"/>
        </w:rPr>
        <w:t>是否涉及优先权：</w:t>
      </w:r>
      <w:r>
        <w:rPr>
          <w:rFonts w:hint="eastAsia" w:ascii="Arial" w:hAnsi="Arial" w:eastAsia="宋体" w:cs="Arial"/>
          <w:kern w:val="2"/>
          <w:sz w:val="21"/>
          <w:szCs w:val="21"/>
          <w:lang w:val="en-US" w:eastAsia="zh-CN" w:bidi="ar-SA"/>
        </w:rPr>
        <w:t>若出租标的涉及优先权，则勾选涉及，</w:t>
      </w:r>
      <w:r>
        <w:rPr>
          <w:rFonts w:hint="eastAsia" w:cs="Arial"/>
          <w:kern w:val="2"/>
          <w:sz w:val="21"/>
          <w:szCs w:val="21"/>
          <w:lang w:val="en-US" w:eastAsia="zh-CN" w:bidi="ar-SA"/>
        </w:rPr>
        <w:t>否则勾选不涉及。勾选涉及优先权后，在保存披露信息后将进入录入优先权人信息页面。</w:t>
      </w:r>
    </w:p>
    <w:p w14:paraId="6081C26B">
      <w:pPr>
        <w:pStyle w:val="12"/>
        <w:rPr>
          <w:rFonts w:hint="default"/>
          <w:lang w:val="en-US" w:eastAsia="zh-CN"/>
        </w:rPr>
      </w:pPr>
    </w:p>
    <w:p w14:paraId="26E00BF9">
      <w:pPr>
        <w:pStyle w:val="12"/>
        <w:ind w:firstLine="420" w:firstLineChars="0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挂牌规则、披露信息、保证金规则、交易条件都录入完成后，页面底部点击【</w:t>
      </w:r>
      <w:r>
        <w:rPr>
          <w:rFonts w:hint="eastAsia"/>
          <w:sz w:val="21"/>
          <w:szCs w:val="21"/>
          <w:lang w:eastAsia="zh-CN"/>
        </w:rPr>
        <w:t>保存信息</w:t>
      </w:r>
      <w:r>
        <w:rPr>
          <w:rFonts w:hint="eastAsia"/>
          <w:sz w:val="21"/>
          <w:szCs w:val="21"/>
          <w:lang w:val="en-US" w:eastAsia="zh-CN"/>
        </w:rPr>
        <w:t>】，进入下一页面。</w:t>
      </w:r>
    </w:p>
    <w:p w14:paraId="19A5E05C">
      <w:pPr>
        <w:pStyle w:val="12"/>
        <w:ind w:firstLine="420" w:firstLineChars="0"/>
        <w:rPr>
          <w:rFonts w:hint="eastAsia"/>
          <w:sz w:val="21"/>
          <w:szCs w:val="21"/>
          <w:lang w:eastAsia="zh-CN"/>
        </w:rPr>
      </w:pPr>
      <w:r>
        <w:rPr>
          <w:rFonts w:hint="eastAsia"/>
          <w:sz w:val="21"/>
          <w:szCs w:val="21"/>
          <w:lang w:val="en-US" w:eastAsia="zh-CN"/>
        </w:rPr>
        <w:t>若涉及行权，则下一步为</w:t>
      </w:r>
      <w:r>
        <w:rPr>
          <w:rFonts w:hint="eastAsia"/>
          <w:color w:val="2E54A1" w:themeColor="accent1" w:themeShade="BF"/>
          <w:sz w:val="21"/>
          <w:szCs w:val="21"/>
          <w:lang w:val="en-US" w:eastAsia="zh-CN"/>
        </w:rPr>
        <w:t>⑤优先权人信息</w:t>
      </w:r>
      <w:r>
        <w:rPr>
          <w:rFonts w:hint="eastAsia"/>
          <w:sz w:val="21"/>
          <w:szCs w:val="21"/>
          <w:lang w:eastAsia="zh-CN"/>
        </w:rPr>
        <w:t>，进入</w:t>
      </w:r>
      <w:r>
        <w:rPr>
          <w:rFonts w:hint="eastAsia"/>
          <w:sz w:val="21"/>
          <w:szCs w:val="21"/>
          <w:lang w:val="en-US" w:eastAsia="zh-CN"/>
        </w:rPr>
        <w:t>优先权人</w:t>
      </w:r>
      <w:r>
        <w:rPr>
          <w:rFonts w:hint="eastAsia"/>
          <w:sz w:val="21"/>
          <w:szCs w:val="21"/>
          <w:lang w:eastAsia="zh-CN"/>
        </w:rPr>
        <w:t>信息界面。</w:t>
      </w:r>
    </w:p>
    <w:p w14:paraId="7A1A1826">
      <w:pPr>
        <w:pStyle w:val="12"/>
        <w:ind w:firstLine="420" w:firstLineChars="0"/>
        <w:rPr>
          <w:rFonts w:hint="default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若不涉及行权，则下一步为</w:t>
      </w:r>
      <w:r>
        <w:rPr>
          <w:rFonts w:hint="eastAsia"/>
          <w:color w:val="2E54A1" w:themeColor="accent1" w:themeShade="BF"/>
          <w:sz w:val="21"/>
          <w:szCs w:val="21"/>
          <w:lang w:val="en-US" w:eastAsia="zh-CN"/>
        </w:rPr>
        <w:t>⑤评估信息，</w:t>
      </w:r>
      <w:r>
        <w:rPr>
          <w:rFonts w:hint="eastAsia"/>
          <w:sz w:val="21"/>
          <w:szCs w:val="21"/>
          <w:lang w:val="en-US" w:eastAsia="zh-CN"/>
        </w:rPr>
        <w:t>进入评估信息界面。</w:t>
      </w:r>
    </w:p>
    <w:p w14:paraId="1C59DE8A">
      <w:pPr>
        <w:pStyle w:val="12"/>
        <w:numPr>
          <w:ilvl w:val="0"/>
          <w:numId w:val="5"/>
        </w:numPr>
        <w:ind w:left="0" w:leftChars="0" w:firstLine="420" w:firstLineChars="0"/>
        <w:rPr>
          <w:rFonts w:hint="default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优先权人界面，填入优先权人基本信息。</w:t>
      </w:r>
    </w:p>
    <w:p w14:paraId="5B126F59">
      <w:pPr>
        <w:pStyle w:val="12"/>
        <w:numPr>
          <w:ilvl w:val="0"/>
          <w:numId w:val="0"/>
        </w:numPr>
        <w:ind w:left="630" w:leftChars="300" w:firstLine="420" w:firstLineChars="200"/>
        <w:rPr>
          <w:rFonts w:hint="default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录入优先权人信息后保存，则添加一个优先权人信息。添加的优先权人在报名登记时会默认为该项目的优先权人。</w:t>
      </w:r>
    </w:p>
    <w:p w14:paraId="2715298E">
      <w:r>
        <w:drawing>
          <wp:inline distT="0" distB="0" distL="114300" distR="114300">
            <wp:extent cx="5273040" cy="2245995"/>
            <wp:effectExtent l="0" t="0" r="3810" b="1905"/>
            <wp:docPr id="5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2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4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AC57B">
      <w:pPr>
        <w:pStyle w:val="12"/>
        <w:jc w:val="center"/>
        <w:rPr>
          <w:rFonts w:hint="eastAsia"/>
          <w:sz w:val="18"/>
          <w:szCs w:val="18"/>
          <w:lang w:val="en-US" w:eastAsia="zh-CN"/>
        </w:rPr>
      </w:pPr>
      <w:r>
        <w:rPr>
          <w:rFonts w:hint="eastAsia"/>
          <w:sz w:val="18"/>
          <w:szCs w:val="18"/>
          <w:lang w:val="en-US" w:eastAsia="zh-CN"/>
        </w:rPr>
        <w:t xml:space="preserve"> 优无权人信息录入</w:t>
      </w:r>
    </w:p>
    <w:p w14:paraId="173D86E3">
      <w:pPr>
        <w:pStyle w:val="1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420" w:leftChars="0"/>
        <w:textAlignment w:val="auto"/>
        <w:rPr>
          <w:rFonts w:hint="default"/>
          <w:sz w:val="21"/>
          <w:szCs w:val="21"/>
          <w:lang w:val="en-US" w:eastAsia="zh-CN"/>
        </w:rPr>
      </w:pPr>
    </w:p>
    <w:p w14:paraId="3669A1BE">
      <w:pPr>
        <w:pStyle w:val="1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/>
          <w:sz w:val="21"/>
          <w:szCs w:val="21"/>
          <w:lang w:eastAsia="zh-CN"/>
        </w:rPr>
      </w:pPr>
      <w:r>
        <w:rPr>
          <w:rFonts w:hint="eastAsia"/>
          <w:sz w:val="21"/>
          <w:szCs w:val="21"/>
          <w:lang w:eastAsia="zh-CN"/>
        </w:rPr>
        <w:t>保存信息后，点击</w:t>
      </w:r>
      <w:r>
        <w:rPr>
          <w:rFonts w:hint="eastAsia"/>
          <w:color w:val="2E54A1" w:themeColor="accent1" w:themeShade="BF"/>
          <w:sz w:val="21"/>
          <w:szCs w:val="21"/>
          <w:lang w:val="en-US" w:eastAsia="zh-CN"/>
        </w:rPr>
        <w:t>⑥评估信息</w:t>
      </w:r>
      <w:r>
        <w:rPr>
          <w:rFonts w:hint="eastAsia"/>
          <w:sz w:val="21"/>
          <w:szCs w:val="21"/>
          <w:lang w:eastAsia="zh-CN"/>
        </w:rPr>
        <w:t>，进入</w:t>
      </w:r>
      <w:r>
        <w:rPr>
          <w:rFonts w:hint="eastAsia"/>
          <w:sz w:val="21"/>
          <w:szCs w:val="21"/>
          <w:lang w:val="en-US" w:eastAsia="zh-CN"/>
        </w:rPr>
        <w:t>评估信息录入</w:t>
      </w:r>
      <w:r>
        <w:rPr>
          <w:rFonts w:hint="eastAsia"/>
          <w:sz w:val="21"/>
          <w:szCs w:val="21"/>
          <w:lang w:eastAsia="zh-CN"/>
        </w:rPr>
        <w:t>界面。</w:t>
      </w:r>
    </w:p>
    <w:p w14:paraId="7FDC9F27">
      <w:pPr>
        <w:pStyle w:val="12"/>
        <w:numPr>
          <w:ilvl w:val="0"/>
          <w:numId w:val="5"/>
        </w:numPr>
        <w:ind w:left="0" w:leftChars="0" w:firstLine="420" w:firstLineChars="0"/>
        <w:rPr>
          <w:rFonts w:hint="default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评估信息界面，录入评估信息。</w:t>
      </w:r>
    </w:p>
    <w:p w14:paraId="6273C2BD">
      <w:pPr>
        <w:pStyle w:val="12"/>
        <w:numPr>
          <w:ilvl w:val="0"/>
          <w:numId w:val="0"/>
        </w:numPr>
        <w:ind w:left="420" w:leftChars="0" w:firstLine="420" w:firstLineChars="0"/>
        <w:rPr>
          <w:rFonts w:hint="default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录入评估信息后，可对资产分别填写租金参考评估值，并上传评估报告，默认可以缺省。但若上传了评估报告，则租金参考评估值需要必填。</w:t>
      </w:r>
    </w:p>
    <w:p w14:paraId="01F9D672">
      <w:pPr>
        <w:pStyle w:val="12"/>
        <w:numPr>
          <w:ilvl w:val="0"/>
          <w:numId w:val="0"/>
        </w:numPr>
        <w:ind w:left="420" w:leftChars="0"/>
      </w:pPr>
      <w:r>
        <w:drawing>
          <wp:inline distT="0" distB="0" distL="114300" distR="114300">
            <wp:extent cx="5272405" cy="1918335"/>
            <wp:effectExtent l="0" t="0" r="4445" b="5715"/>
            <wp:docPr id="3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91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A7639">
      <w:pPr>
        <w:pStyle w:val="11"/>
        <w:numPr>
          <w:ilvl w:val="0"/>
          <w:numId w:val="0"/>
        </w:numPr>
        <w:ind w:left="420"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评估信息录入</w:t>
      </w:r>
    </w:p>
    <w:p w14:paraId="676740FE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评估信息录入完成后点击【保存信息】，点击⑦</w:t>
      </w:r>
      <w:r>
        <w:rPr>
          <w:rFonts w:hint="eastAsia" w:ascii="Times New Roman" w:hAnsi="Times New Roman" w:eastAsia="宋体" w:cs="Times New Roman"/>
          <w:color w:val="2E54A1" w:themeColor="accent1" w:themeShade="BF"/>
          <w:kern w:val="2"/>
          <w:sz w:val="21"/>
          <w:szCs w:val="21"/>
          <w:lang w:val="en-US" w:eastAsia="zh-CN" w:bidi="ar-SA"/>
        </w:rPr>
        <w:t>项目相关附件</w:t>
      </w:r>
      <w:r>
        <w:rPr>
          <w:rFonts w:hint="eastAsia"/>
          <w:lang w:val="en-US" w:eastAsia="zh-CN"/>
        </w:rPr>
        <w:t>进入项目相关附件界面</w:t>
      </w:r>
    </w:p>
    <w:p w14:paraId="3570132B">
      <w:pPr>
        <w:pStyle w:val="1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420" w:leftChars="0"/>
        <w:textAlignment w:val="auto"/>
        <w:rPr>
          <w:rFonts w:hint="eastAsia"/>
          <w:lang w:eastAsia="zh-CN"/>
        </w:rPr>
      </w:pPr>
      <w:r>
        <w:rPr>
          <w:rFonts w:hint="eastAsia"/>
          <w:sz w:val="21"/>
          <w:szCs w:val="21"/>
          <w:lang w:val="en-US" w:eastAsia="zh-CN"/>
        </w:rPr>
        <w:t>（7）项目附件界面，可添加委托方附件。列表中“要求材料关联信息”显示附件关联信息并根据条件显示是否必填，需按要求上传附件。如下图所示：</w:t>
      </w:r>
    </w:p>
    <w:p w14:paraId="2CAEC2CB">
      <w:r>
        <w:drawing>
          <wp:inline distT="0" distB="0" distL="114300" distR="114300">
            <wp:extent cx="5272405" cy="2794635"/>
            <wp:effectExtent l="0" t="0" r="4445" b="5715"/>
            <wp:docPr id="3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79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C8D2B">
      <w:pPr>
        <w:pStyle w:val="12"/>
        <w:jc w:val="center"/>
        <w:rPr>
          <w:rFonts w:hint="eastAsia"/>
          <w:sz w:val="18"/>
          <w:szCs w:val="18"/>
          <w:lang w:val="en-US" w:eastAsia="zh-CN"/>
        </w:rPr>
      </w:pPr>
      <w:r>
        <w:rPr>
          <w:rFonts w:hint="eastAsia"/>
          <w:sz w:val="18"/>
          <w:szCs w:val="18"/>
          <w:lang w:val="en-US" w:eastAsia="zh-CN"/>
        </w:rPr>
        <w:t xml:space="preserve"> 委托方附件上传</w:t>
      </w:r>
    </w:p>
    <w:p w14:paraId="7DCFCCA3">
      <w:pPr>
        <w:pStyle w:val="12"/>
        <w:ind w:left="420" w:leftChars="0"/>
        <w:jc w:val="both"/>
        <w:rPr>
          <w:rFonts w:hint="default"/>
          <w:sz w:val="18"/>
          <w:szCs w:val="18"/>
          <w:lang w:val="en-US" w:eastAsia="zh-CN"/>
        </w:rPr>
      </w:pPr>
      <w:r>
        <w:rPr>
          <w:rFonts w:hint="eastAsia"/>
          <w:sz w:val="18"/>
          <w:szCs w:val="18"/>
          <w:lang w:val="en-US" w:eastAsia="zh-CN"/>
        </w:rPr>
        <w:t>注：产权证、主体资格证明材料、资产评估报告会自动带入。</w:t>
      </w:r>
    </w:p>
    <w:p w14:paraId="4DF21879">
      <w:pPr>
        <w:pStyle w:val="1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420" w:leftChars="0"/>
        <w:textAlignment w:val="auto"/>
        <w:rPr>
          <w:rFonts w:hint="eastAsia"/>
          <w:lang w:eastAsia="zh-CN"/>
        </w:rPr>
      </w:pPr>
      <w:r>
        <w:rPr>
          <w:rFonts w:hint="eastAsia"/>
          <w:sz w:val="21"/>
          <w:szCs w:val="21"/>
          <w:lang w:val="en-US" w:eastAsia="zh-CN"/>
        </w:rPr>
        <w:t>（8）选择审核部门界面，可选择一个部门去审核委托项目。如下图所示：</w:t>
      </w:r>
    </w:p>
    <w:p w14:paraId="48165F34">
      <w:pPr>
        <w:pStyle w:val="12"/>
        <w:jc w:val="center"/>
      </w:pPr>
      <w:r>
        <w:drawing>
          <wp:inline distT="0" distB="0" distL="114300" distR="114300">
            <wp:extent cx="5271135" cy="927735"/>
            <wp:effectExtent l="0" t="0" r="5715" b="5715"/>
            <wp:docPr id="1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92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30E17">
      <w:pPr>
        <w:pStyle w:val="12"/>
        <w:jc w:val="center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注：若委托方隶属关系为市属国企下的集团，则系统会自动分配审核部门，且无法变更。</w:t>
      </w:r>
    </w:p>
    <w:p w14:paraId="2236A5FA">
      <w:pPr>
        <w:pStyle w:val="12"/>
        <w:jc w:val="center"/>
        <w:rPr>
          <w:rFonts w:hint="default"/>
          <w:sz w:val="21"/>
          <w:szCs w:val="21"/>
          <w:lang w:val="en-US" w:eastAsia="zh-CN"/>
        </w:rPr>
      </w:pPr>
    </w:p>
    <w:p w14:paraId="5B3B4E6A">
      <w:pPr>
        <w:pStyle w:val="12"/>
        <w:jc w:val="both"/>
        <w:rPr>
          <w:rFonts w:hint="eastAsia" w:ascii="Times New Roman" w:hAnsi="Times New Roman" w:eastAsia="宋体" w:cs="Times New Roman"/>
          <w:kern w:val="2"/>
          <w:sz w:val="21"/>
          <w:szCs w:val="21"/>
          <w:lang w:val="en-US" w:eastAsia="zh-CN" w:bidi="ar-SA"/>
        </w:rPr>
      </w:pPr>
      <w:r>
        <w:rPr>
          <w:rFonts w:hint="eastAsia" w:ascii="Times New Roman" w:hAnsi="Times New Roman" w:eastAsia="宋体" w:cs="Times New Roman"/>
          <w:kern w:val="2"/>
          <w:sz w:val="21"/>
          <w:szCs w:val="21"/>
          <w:lang w:val="en-US" w:eastAsia="zh-CN" w:bidi="ar-SA"/>
        </w:rPr>
        <w:t>项目所有信息</w:t>
      </w:r>
      <w:r>
        <w:rPr>
          <w:rFonts w:hint="eastAsia" w:cs="Times New Roman"/>
          <w:kern w:val="2"/>
          <w:sz w:val="21"/>
          <w:szCs w:val="21"/>
          <w:lang w:val="en-US" w:eastAsia="zh-CN" w:bidi="ar-SA"/>
        </w:rPr>
        <w:t>都</w:t>
      </w:r>
      <w:r>
        <w:rPr>
          <w:rFonts w:hint="eastAsia" w:ascii="Times New Roman" w:hAnsi="Times New Roman" w:eastAsia="宋体" w:cs="Times New Roman"/>
          <w:kern w:val="2"/>
          <w:sz w:val="21"/>
          <w:szCs w:val="21"/>
          <w:lang w:val="en-US" w:eastAsia="zh-CN" w:bidi="ar-SA"/>
        </w:rPr>
        <w:t>录入完成后，</w:t>
      </w:r>
      <w:r>
        <w:rPr>
          <w:rFonts w:hint="eastAsia" w:cs="Times New Roman"/>
          <w:kern w:val="2"/>
          <w:sz w:val="21"/>
          <w:szCs w:val="21"/>
          <w:lang w:val="en-US" w:eastAsia="zh-CN" w:bidi="ar-SA"/>
        </w:rPr>
        <w:t>点击提交审核可启动审批流程。点击确定后，则自动</w:t>
      </w:r>
      <w:r>
        <w:rPr>
          <w:rFonts w:hint="eastAsia" w:ascii="Times New Roman" w:hAnsi="Times New Roman" w:eastAsia="宋体" w:cs="Times New Roman"/>
          <w:kern w:val="2"/>
          <w:sz w:val="21"/>
          <w:szCs w:val="21"/>
          <w:lang w:val="en-US" w:eastAsia="zh-CN" w:bidi="ar-SA"/>
        </w:rPr>
        <w:t>【</w:t>
      </w:r>
      <w:r>
        <w:rPr>
          <w:rFonts w:hint="eastAsia" w:cs="Times New Roman"/>
          <w:kern w:val="2"/>
          <w:sz w:val="21"/>
          <w:szCs w:val="21"/>
          <w:lang w:val="en-US" w:eastAsia="zh-CN" w:bidi="ar-SA"/>
        </w:rPr>
        <w:t>下载信息</w:t>
      </w:r>
      <w:r>
        <w:rPr>
          <w:rFonts w:hint="eastAsia" w:ascii="Times New Roman" w:hAnsi="Times New Roman" w:eastAsia="宋体" w:cs="Times New Roman"/>
          <w:kern w:val="2"/>
          <w:sz w:val="21"/>
          <w:szCs w:val="21"/>
          <w:lang w:val="en-US" w:eastAsia="zh-CN" w:bidi="ar-SA"/>
        </w:rPr>
        <w:t>披露申请书】</w:t>
      </w:r>
    </w:p>
    <w:p w14:paraId="4B82440C">
      <w:pPr>
        <w:pStyle w:val="12"/>
        <w:jc w:val="both"/>
      </w:pPr>
      <w:r>
        <w:drawing>
          <wp:inline distT="0" distB="0" distL="114300" distR="114300">
            <wp:extent cx="5622290" cy="2731135"/>
            <wp:effectExtent l="0" t="0" r="6985" b="2540"/>
            <wp:docPr id="58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3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622290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3E54B">
      <w:pPr>
        <w:pStyle w:val="11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打印披露申请书</w:t>
      </w:r>
    </w:p>
    <w:p w14:paraId="16441BB4">
      <w:pPr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3500120" cy="3079115"/>
            <wp:effectExtent l="0" t="0" r="0" b="0"/>
            <wp:docPr id="59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36"/>
                    <pic:cNvPicPr>
                      <a:picLocks noChangeAspect="1"/>
                    </pic:cNvPicPr>
                  </pic:nvPicPr>
                  <pic:blipFill>
                    <a:blip r:embed="rId41"/>
                    <a:srcRect l="27501" r="6074"/>
                    <a:stretch>
                      <a:fillRect/>
                    </a:stretch>
                  </pic:blipFill>
                  <pic:spPr>
                    <a:xfrm>
                      <a:off x="0" y="0"/>
                      <a:ext cx="3500120" cy="307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83446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jc w:val="left"/>
        <w:textAlignment w:val="auto"/>
        <w:rPr>
          <w:rFonts w:hint="eastAsia" w:ascii="Times New Roman" w:hAnsi="Times New Roman" w:eastAsia="宋体" w:cs="Times New Roman"/>
          <w:kern w:val="2"/>
          <w:sz w:val="21"/>
          <w:szCs w:val="21"/>
          <w:lang w:val="en-US" w:eastAsia="zh-CN" w:bidi="ar-SA"/>
        </w:rPr>
      </w:pPr>
    </w:p>
    <w:p w14:paraId="678D1A23">
      <w:pPr>
        <w:pStyle w:val="12"/>
        <w:rPr>
          <w:rFonts w:hint="eastAsia"/>
          <w:lang w:val="en-US" w:eastAsia="zh-CN"/>
        </w:rPr>
      </w:pPr>
    </w:p>
    <w:p w14:paraId="693D200F">
      <w:pPr>
        <w:pStyle w:val="12"/>
      </w:pPr>
    </w:p>
    <w:p w14:paraId="1DE517E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420" w:leftChars="0"/>
        <w:jc w:val="left"/>
        <w:textAlignment w:val="auto"/>
        <w:rPr>
          <w:rFonts w:hint="eastAsia" w:ascii="Times New Roman" w:hAnsi="Times New Roman" w:eastAsia="宋体" w:cs="Times New Roman"/>
          <w:kern w:val="2"/>
          <w:sz w:val="21"/>
          <w:szCs w:val="21"/>
          <w:lang w:val="en-US" w:eastAsia="zh-CN" w:bidi="ar-SA"/>
        </w:rPr>
      </w:pPr>
      <w:r>
        <w:rPr>
          <w:rFonts w:hint="eastAsia" w:cs="Times New Roman"/>
          <w:kern w:val="2"/>
          <w:sz w:val="21"/>
          <w:szCs w:val="21"/>
          <w:lang w:val="en-US" w:eastAsia="zh-CN" w:bidi="ar-SA"/>
        </w:rPr>
        <w:t>提交审核后，</w:t>
      </w:r>
      <w:r>
        <w:rPr>
          <w:rFonts w:hint="eastAsia" w:ascii="Times New Roman" w:hAnsi="Times New Roman" w:eastAsia="宋体" w:cs="Times New Roman"/>
          <w:kern w:val="2"/>
          <w:sz w:val="21"/>
          <w:szCs w:val="21"/>
          <w:lang w:val="en-US" w:eastAsia="zh-CN" w:bidi="ar-SA"/>
        </w:rPr>
        <w:t>可在</w:t>
      </w:r>
      <w:r>
        <w:rPr>
          <w:rFonts w:hint="eastAsia" w:cs="Times New Roman"/>
          <w:kern w:val="2"/>
          <w:sz w:val="21"/>
          <w:szCs w:val="21"/>
          <w:lang w:val="en-US" w:eastAsia="zh-CN" w:bidi="ar-SA"/>
        </w:rPr>
        <w:t>委托中项目列表中上传</w:t>
      </w:r>
      <w:r>
        <w:rPr>
          <w:rFonts w:hint="eastAsia" w:cs="Times New Roman"/>
          <w:color w:val="FF0000"/>
          <w:kern w:val="2"/>
          <w:sz w:val="21"/>
          <w:szCs w:val="21"/>
          <w:lang w:val="en-US" w:eastAsia="zh-CN" w:bidi="ar-SA"/>
        </w:rPr>
        <w:t>已盖章信息披露申请书</w:t>
      </w:r>
      <w:r>
        <w:rPr>
          <w:rFonts w:hint="eastAsia" w:cs="Times New Roman"/>
          <w:kern w:val="2"/>
          <w:sz w:val="21"/>
          <w:szCs w:val="21"/>
          <w:lang w:val="en-US" w:eastAsia="zh-CN" w:bidi="ar-SA"/>
        </w:rPr>
        <w:t>，并可以查看项目交易进度。</w:t>
      </w:r>
    </w:p>
    <w:p w14:paraId="00D46872">
      <w:pPr>
        <w:pStyle w:val="12"/>
      </w:pPr>
      <w:r>
        <w:drawing>
          <wp:inline distT="0" distB="0" distL="114300" distR="114300">
            <wp:extent cx="5269865" cy="2535555"/>
            <wp:effectExtent l="0" t="0" r="6985" b="7620"/>
            <wp:docPr id="61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53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CD3C9">
      <w:pPr>
        <w:pStyle w:val="12"/>
      </w:pPr>
    </w:p>
    <w:p w14:paraId="086C2097">
      <w:pPr>
        <w:pStyle w:val="3"/>
      </w:pPr>
      <w:bookmarkStart w:id="9" w:name="_Toc31323"/>
      <w:r>
        <w:rPr>
          <w:rFonts w:hint="eastAsia"/>
          <w:lang w:val="en-US" w:eastAsia="zh-CN"/>
        </w:rPr>
        <w:t>租赁包项目委托登记</w:t>
      </w:r>
      <w:bookmarkEnd w:id="9"/>
    </w:p>
    <w:p w14:paraId="5D55A5F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 w:eastAsia="宋体"/>
          <w:sz w:val="21"/>
          <w:szCs w:val="21"/>
          <w:lang w:val="en-US" w:eastAsia="zh-CN"/>
        </w:rPr>
      </w:pPr>
      <w:r>
        <w:rPr>
          <w:rFonts w:hint="eastAsia"/>
          <w:lang w:val="en-US" w:eastAsia="zh-CN"/>
        </w:rPr>
        <w:t>委托方进入用户中心后，点击“项目委托”，</w:t>
      </w:r>
      <w:r>
        <w:rPr>
          <w:rFonts w:hint="eastAsia"/>
          <w:sz w:val="21"/>
          <w:szCs w:val="21"/>
          <w:lang w:eastAsia="zh-CN"/>
        </w:rPr>
        <w:t>选择要</w:t>
      </w:r>
      <w:r>
        <w:rPr>
          <w:rFonts w:hint="eastAsia"/>
          <w:sz w:val="21"/>
          <w:szCs w:val="21"/>
          <w:lang w:val="en-US" w:eastAsia="zh-CN"/>
        </w:rPr>
        <w:t>委托</w:t>
      </w:r>
      <w:r>
        <w:rPr>
          <w:rFonts w:hint="eastAsia"/>
          <w:sz w:val="21"/>
          <w:szCs w:val="21"/>
          <w:lang w:eastAsia="zh-CN"/>
        </w:rPr>
        <w:t>的项目类</w:t>
      </w:r>
      <w:r>
        <w:rPr>
          <w:rFonts w:hint="eastAsia"/>
          <w:sz w:val="21"/>
          <w:szCs w:val="21"/>
          <w:lang w:val="en-US" w:eastAsia="zh-CN"/>
        </w:rPr>
        <w:t>型</w:t>
      </w:r>
      <w:r>
        <w:rPr>
          <w:rFonts w:hint="eastAsia"/>
          <w:sz w:val="21"/>
          <w:szCs w:val="21"/>
          <w:lang w:eastAsia="zh-CN"/>
        </w:rPr>
        <w:t>（</w:t>
      </w:r>
      <w:r>
        <w:rPr>
          <w:rFonts w:hint="eastAsia"/>
          <w:sz w:val="21"/>
          <w:szCs w:val="21"/>
          <w:lang w:val="en-US" w:eastAsia="zh-CN"/>
        </w:rPr>
        <w:t>资产租赁-批量处置《租赁包模式委托》</w:t>
      </w:r>
      <w:r>
        <w:rPr>
          <w:rFonts w:hint="eastAsia"/>
          <w:sz w:val="21"/>
          <w:szCs w:val="21"/>
          <w:lang w:eastAsia="zh-CN"/>
        </w:rPr>
        <w:t>），进入</w:t>
      </w:r>
      <w:r>
        <w:rPr>
          <w:rFonts w:hint="eastAsia"/>
          <w:sz w:val="21"/>
          <w:szCs w:val="21"/>
          <w:lang w:val="en-US" w:eastAsia="zh-CN"/>
        </w:rPr>
        <w:t>租赁包登记</w:t>
      </w:r>
      <w:r>
        <w:rPr>
          <w:rFonts w:hint="eastAsia"/>
          <w:sz w:val="21"/>
          <w:szCs w:val="21"/>
          <w:lang w:eastAsia="zh-CN"/>
        </w:rPr>
        <w:t>界面，如下图所示：</w:t>
      </w:r>
    </w:p>
    <w:p w14:paraId="6F252A7A">
      <w:pPr>
        <w:rPr>
          <w:rFonts w:hint="default" w:eastAsia="宋体"/>
          <w:lang w:val="en-US" w:eastAsia="zh-CN"/>
        </w:rPr>
      </w:pPr>
    </w:p>
    <w:p w14:paraId="54DF58B5">
      <w:r>
        <w:drawing>
          <wp:inline distT="0" distB="0" distL="114300" distR="114300">
            <wp:extent cx="5234305" cy="2653030"/>
            <wp:effectExtent l="0" t="0" r="4445" b="4445"/>
            <wp:docPr id="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34305" cy="265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3394A">
      <w:pPr>
        <w:pStyle w:val="12"/>
      </w:pPr>
      <w:r>
        <w:drawing>
          <wp:inline distT="0" distB="0" distL="114300" distR="114300">
            <wp:extent cx="5267960" cy="1864995"/>
            <wp:effectExtent l="0" t="0" r="8890" b="1905"/>
            <wp:docPr id="3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86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EF940">
      <w:pPr>
        <w:pStyle w:val="1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lang w:val="en-US" w:eastAsia="zh-CN"/>
        </w:rPr>
        <w:t>（1）租赁包信息页面：</w:t>
      </w:r>
      <w:r>
        <w:rPr>
          <w:rFonts w:hint="eastAsia"/>
          <w:sz w:val="21"/>
          <w:szCs w:val="21"/>
          <w:lang w:val="en-US" w:eastAsia="zh-CN"/>
        </w:rPr>
        <w:t>选择出租标的类型，按要求填写出租项目基本信息（带</w:t>
      </w:r>
      <w:r>
        <w:rPr>
          <w:rFonts w:hint="eastAsia"/>
          <w:color w:val="FF0000"/>
          <w:sz w:val="21"/>
          <w:szCs w:val="21"/>
          <w:lang w:val="en-US" w:eastAsia="zh-CN"/>
        </w:rPr>
        <w:t>*</w:t>
      </w:r>
      <w:r>
        <w:rPr>
          <w:rFonts w:hint="eastAsia"/>
          <w:sz w:val="21"/>
          <w:szCs w:val="21"/>
          <w:lang w:val="en-US" w:eastAsia="zh-CN"/>
        </w:rPr>
        <w:t>号的是必填项），填写完成后点击【保存信息】，点击</w:t>
      </w:r>
      <w:r>
        <w:rPr>
          <w:rFonts w:hint="eastAsia"/>
          <w:color w:val="2E54A1" w:themeColor="accent1" w:themeShade="BF"/>
          <w:sz w:val="21"/>
          <w:szCs w:val="21"/>
          <w:lang w:val="en-US" w:eastAsia="zh-CN"/>
        </w:rPr>
        <w:t>②委托方基本信息</w:t>
      </w:r>
      <w:r>
        <w:rPr>
          <w:rFonts w:hint="eastAsia"/>
          <w:sz w:val="21"/>
          <w:szCs w:val="21"/>
          <w:lang w:val="en-US" w:eastAsia="zh-CN"/>
        </w:rPr>
        <w:t>进入委托方基本信息录入页面。</w:t>
      </w:r>
    </w:p>
    <w:p w14:paraId="147BBF1C">
      <w:pPr>
        <w:pStyle w:val="12"/>
        <w:numPr>
          <w:ilvl w:val="0"/>
          <w:numId w:val="0"/>
        </w:numPr>
        <w:ind w:left="420" w:leftChars="0"/>
      </w:pPr>
      <w:r>
        <w:rPr>
          <w:rFonts w:hint="eastAsia"/>
          <w:sz w:val="21"/>
          <w:szCs w:val="21"/>
          <w:lang w:val="en-US" w:eastAsia="zh-CN"/>
        </w:rPr>
        <w:t>（2）基本信息页面，如下图所示：</w:t>
      </w:r>
    </w:p>
    <w:p w14:paraId="245E2B12">
      <w:pPr>
        <w:pStyle w:val="12"/>
        <w:numPr>
          <w:ilvl w:val="0"/>
          <w:numId w:val="0"/>
        </w:numPr>
        <w:ind w:left="420" w:leftChars="0"/>
      </w:pPr>
      <w:r>
        <w:drawing>
          <wp:inline distT="0" distB="0" distL="114300" distR="114300">
            <wp:extent cx="5271770" cy="2671445"/>
            <wp:effectExtent l="0" t="0" r="5080" b="5080"/>
            <wp:docPr id="3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95FAC">
      <w:pPr>
        <w:pStyle w:val="11"/>
        <w:bidi w:val="0"/>
        <w:rPr>
          <w:rFonts w:hint="eastAsia"/>
          <w:lang w:eastAsia="zh-CN"/>
        </w:rPr>
      </w:pPr>
      <w:r>
        <w:rPr>
          <w:rFonts w:hint="eastAsia"/>
          <w:lang w:val="en-US" w:eastAsia="zh-CN"/>
        </w:rPr>
        <w:t xml:space="preserve"> </w:t>
      </w:r>
    </w:p>
    <w:p w14:paraId="5B2327F0">
      <w:pPr>
        <w:pStyle w:val="1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委托方页面中会自动加载委托方基本信息以及联系方式、价款划付银行信息、开票信息等，若未提前录入相关信息，则需要手动补充。</w:t>
      </w:r>
    </w:p>
    <w:p w14:paraId="7574F8D7">
      <w:pPr>
        <w:pStyle w:val="1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default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补充银行划付信息：</w:t>
      </w:r>
    </w:p>
    <w:p w14:paraId="0207E26F">
      <w:pPr>
        <w:pStyle w:val="1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</w:pPr>
      <w:r>
        <w:drawing>
          <wp:inline distT="0" distB="0" distL="114300" distR="114300">
            <wp:extent cx="5266055" cy="1773555"/>
            <wp:effectExtent l="0" t="0" r="1270" b="7620"/>
            <wp:docPr id="3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6"/>
                    <pic:cNvPicPr>
                      <a:picLocks noChangeAspect="1"/>
                    </pic:cNvPicPr>
                  </pic:nvPicPr>
                  <pic:blipFill>
                    <a:blip r:embed="rId27"/>
                    <a:srcRect t="3157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77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5057A">
      <w:pPr>
        <w:pStyle w:val="1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</w:pPr>
    </w:p>
    <w:p w14:paraId="0A38A659">
      <w:pPr>
        <w:pStyle w:val="1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补充发票抬头信息：</w:t>
      </w:r>
    </w:p>
    <w:p w14:paraId="5066CF14">
      <w:pPr>
        <w:pStyle w:val="1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71135" cy="2404110"/>
            <wp:effectExtent l="0" t="0" r="5715" b="5715"/>
            <wp:docPr id="3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0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1764C">
      <w:pPr>
        <w:pStyle w:val="1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/>
          <w:lang w:val="en-US" w:eastAsia="zh-CN"/>
        </w:rPr>
      </w:pPr>
    </w:p>
    <w:p w14:paraId="75CB7807">
      <w:pPr>
        <w:pStyle w:val="1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填写完毕后，点击【保存信息】保存委托方信息。点击</w:t>
      </w:r>
      <w:r>
        <w:rPr>
          <w:rFonts w:hint="eastAsia"/>
          <w:color w:val="2E54A1" w:themeColor="accent1" w:themeShade="BF"/>
          <w:sz w:val="21"/>
          <w:szCs w:val="21"/>
          <w:lang w:val="en-US" w:eastAsia="zh-CN"/>
        </w:rPr>
        <w:t>③披露信息</w:t>
      </w:r>
      <w:r>
        <w:rPr>
          <w:rFonts w:hint="eastAsia"/>
          <w:sz w:val="21"/>
          <w:szCs w:val="21"/>
          <w:lang w:val="en-US" w:eastAsia="zh-CN"/>
        </w:rPr>
        <w:t>进入第三步披露信息信息的录入页面。</w:t>
      </w:r>
    </w:p>
    <w:p w14:paraId="1DF5E659">
      <w:pPr>
        <w:pStyle w:val="12"/>
        <w:numPr>
          <w:ilvl w:val="0"/>
          <w:numId w:val="0"/>
        </w:numPr>
        <w:ind w:left="420" w:leftChars="0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（3）披露信息页面，填写信息披露期及交易方式、出租条件、保证金设置及其他与交易相关的其他条件、承租方资格条件信息。</w:t>
      </w:r>
    </w:p>
    <w:p w14:paraId="1807A1F7">
      <w:r>
        <w:drawing>
          <wp:inline distT="0" distB="0" distL="114300" distR="114300">
            <wp:extent cx="5272405" cy="2384425"/>
            <wp:effectExtent l="0" t="0" r="4445" b="6350"/>
            <wp:docPr id="3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8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64A9C">
      <w:pPr>
        <w:pStyle w:val="12"/>
      </w:pPr>
      <w:r>
        <w:drawing>
          <wp:inline distT="0" distB="0" distL="114300" distR="114300">
            <wp:extent cx="5269865" cy="3202305"/>
            <wp:effectExtent l="0" t="0" r="6985" b="7620"/>
            <wp:docPr id="3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20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905CE">
      <w:pPr>
        <w:pStyle w:val="12"/>
      </w:pPr>
    </w:p>
    <w:p w14:paraId="5CCBD1B2">
      <w:pPr>
        <w:pStyle w:val="12"/>
        <w:rPr>
          <w:rFonts w:hint="eastAsia"/>
          <w:lang w:eastAsia="zh-CN"/>
        </w:rPr>
      </w:pPr>
    </w:p>
    <w:p w14:paraId="0A3FC55F">
      <w:pPr>
        <w:pStyle w:val="12"/>
        <w:rPr>
          <w:rFonts w:hint="eastAsia"/>
          <w:lang w:eastAsia="zh-CN"/>
        </w:rPr>
      </w:pPr>
    </w:p>
    <w:p w14:paraId="2E3D8F2C">
      <w:pPr>
        <w:pStyle w:val="11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</w:p>
    <w:p w14:paraId="3CE6D5EF">
      <w:pPr>
        <w:pStyle w:val="1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420" w:leftChars="0" w:firstLine="420" w:firstLineChars="0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是否动态报价选择“是”</w:t>
      </w:r>
    </w:p>
    <w:p w14:paraId="2DB27A51">
      <w:pPr>
        <w:pStyle w:val="1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420" w:leftChars="0" w:firstLine="420" w:firstLineChars="0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采用动态报价时，竞买人报名缴纳后即可进行报价，在整个公告期都可以自由的报价。通过这种方式竞价时期较长，适合价格不太高的、比较活跃、参与人数较多的标的。</w:t>
      </w:r>
    </w:p>
    <w:p w14:paraId="58E9FC8A">
      <w:pPr>
        <w:pStyle w:val="1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420" w:leftChars="0" w:firstLine="420" w:firstLineChars="0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是否动态报价选择“否”</w:t>
      </w:r>
    </w:p>
    <w:p w14:paraId="1F319FBB">
      <w:pPr>
        <w:pStyle w:val="1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420" w:leftChars="0" w:firstLine="420" w:firstLineChars="0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采用网络竞价时，项目挂牌后征集意向方，在整个挂牌期，征集到两个及以上受让方时，在摘牌后组织网络竞价，竞买人在报价期内可以正常报价。相比动态报价，网络竞价时间相对较短，可用于所有标的类型；</w:t>
      </w:r>
    </w:p>
    <w:p w14:paraId="5C834010">
      <w:pPr>
        <w:pStyle w:val="1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420" w:leftChars="0" w:firstLine="420" w:firstLineChars="0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采用招投标、拍卖、其它（综合评审）时，线下组织交易线上录入成交结果。</w:t>
      </w:r>
    </w:p>
    <w:p w14:paraId="4F61D50A">
      <w:pPr>
        <w:pStyle w:val="1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420" w:leftChars="0" w:firstLine="420" w:firstLineChars="0"/>
        <w:textAlignment w:val="auto"/>
        <w:rPr>
          <w:rFonts w:hint="default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延牌设置：</w:t>
      </w:r>
      <w:r>
        <w:rPr>
          <w:rFonts w:hint="eastAsia"/>
          <w:b w:val="0"/>
          <w:bCs w:val="0"/>
          <w:sz w:val="21"/>
          <w:szCs w:val="21"/>
          <w:lang w:val="en-US" w:eastAsia="zh-CN"/>
        </w:rPr>
        <w:t>挂牌期满后征集到符合条件的意向方未达到要求时，选择延牌时可设置延牌规则、延牌周期、最多延牌次数</w:t>
      </w:r>
    </w:p>
    <w:p w14:paraId="5945BAC7">
      <w:pPr>
        <w:pStyle w:val="1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</w:pPr>
      <w:r>
        <w:drawing>
          <wp:inline distT="0" distB="0" distL="114300" distR="114300">
            <wp:extent cx="5129530" cy="1691005"/>
            <wp:effectExtent l="0" t="0" r="4445" b="4445"/>
            <wp:docPr id="65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2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4CE0A">
      <w:pPr>
        <w:pStyle w:val="11"/>
        <w:bidi w:val="0"/>
        <w:ind w:left="420" w:leftChars="0"/>
        <w:jc w:val="both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征集到一个承租方采用的交易方式：</w:t>
      </w:r>
      <w:r>
        <w:rPr>
          <w:rFonts w:hint="eastAsia"/>
          <w:sz w:val="21"/>
          <w:szCs w:val="21"/>
          <w:lang w:val="en-US" w:eastAsia="zh-CN"/>
        </w:rPr>
        <w:t>可选择的交易方式有网络竞价（一次报价）、协议转让和其他。</w:t>
      </w:r>
    </w:p>
    <w:p w14:paraId="0FC3CB8A">
      <w:pPr>
        <w:ind w:left="420" w:leftChars="0"/>
        <w:rPr>
          <w:rFonts w:hint="eastAsia" w:ascii="Arial" w:hAnsi="Arial" w:cs="Arial"/>
          <w:kern w:val="2"/>
          <w:sz w:val="21"/>
          <w:szCs w:val="21"/>
          <w:lang w:val="en-US" w:eastAsia="zh-CN" w:bidi="ar-SA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征集到两个以及上承租方采用的交易方式：</w:t>
      </w:r>
      <w:r>
        <w:rPr>
          <w:rFonts w:hint="eastAsia" w:ascii="Arial" w:hAnsi="Arial" w:eastAsia="宋体" w:cs="Arial"/>
          <w:kern w:val="2"/>
          <w:sz w:val="21"/>
          <w:szCs w:val="21"/>
          <w:lang w:val="en-US" w:eastAsia="zh-CN" w:bidi="ar-SA"/>
        </w:rPr>
        <w:t>可选择的交易方式</w:t>
      </w:r>
      <w:r>
        <w:rPr>
          <w:rFonts w:hint="eastAsia" w:ascii="Arial" w:hAnsi="Arial" w:cs="Arial"/>
          <w:kern w:val="2"/>
          <w:sz w:val="21"/>
          <w:szCs w:val="21"/>
          <w:lang w:val="en-US" w:eastAsia="zh-CN" w:bidi="ar-SA"/>
        </w:rPr>
        <w:t>为网络竞价（多次竞价、一次报价）、综合评议、招投标、拍卖、其他。</w:t>
      </w:r>
    </w:p>
    <w:p w14:paraId="5F0F1C3E">
      <w:pPr>
        <w:pStyle w:val="12"/>
        <w:rPr>
          <w:rFonts w:hint="eastAsia"/>
          <w:lang w:val="en-US" w:eastAsia="zh-CN"/>
        </w:rPr>
      </w:pPr>
      <w:r>
        <w:drawing>
          <wp:inline distT="0" distB="0" distL="114300" distR="114300">
            <wp:extent cx="3557905" cy="595630"/>
            <wp:effectExtent l="0" t="0" r="4445" b="4445"/>
            <wp:docPr id="6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557905" cy="59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A4FAA">
      <w:pPr>
        <w:pStyle w:val="12"/>
        <w:ind w:left="420" w:leftChars="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处置方案-竞价专场：</w:t>
      </w:r>
      <w:r>
        <w:rPr>
          <w:rFonts w:hint="eastAsia" w:ascii="Arial" w:hAnsi="Arial" w:eastAsia="宋体" w:cs="Arial"/>
          <w:kern w:val="2"/>
          <w:sz w:val="21"/>
          <w:szCs w:val="21"/>
          <w:lang w:val="en-US" w:eastAsia="zh-CN" w:bidi="ar-SA"/>
        </w:rPr>
        <w:t>支持委托方多个资产打包处置，该模式在包上统一设置保证金，针对整个包报名。</w:t>
      </w:r>
    </w:p>
    <w:p w14:paraId="082A2A90">
      <w:pPr>
        <w:pStyle w:val="12"/>
        <w:ind w:left="420" w:leftChars="0"/>
        <w:rPr>
          <w:rFonts w:hint="eastAsia" w:ascii="Arial" w:hAnsi="Arial" w:cs="Arial"/>
          <w:kern w:val="2"/>
          <w:sz w:val="21"/>
          <w:szCs w:val="21"/>
          <w:lang w:val="en-US" w:eastAsia="zh-CN" w:bidi="ar-SA"/>
        </w:rPr>
      </w:pPr>
      <w:r>
        <w:rPr>
          <w:rFonts w:hint="eastAsia"/>
          <w:b/>
          <w:bCs/>
          <w:lang w:val="en-US" w:eastAsia="zh-CN"/>
        </w:rPr>
        <w:t>处置方案-每个标的单独征集意向方：</w:t>
      </w:r>
      <w:r>
        <w:rPr>
          <w:rFonts w:hint="eastAsia" w:ascii="Arial" w:hAnsi="Arial" w:eastAsia="宋体" w:cs="Arial"/>
          <w:kern w:val="2"/>
          <w:sz w:val="21"/>
          <w:szCs w:val="21"/>
          <w:lang w:val="en-US" w:eastAsia="zh-CN" w:bidi="ar-SA"/>
        </w:rPr>
        <w:t>支持委托方多个资产打包处置，</w:t>
      </w:r>
      <w:r>
        <w:rPr>
          <w:rFonts w:hint="eastAsia" w:ascii="Arial" w:hAnsi="Arial" w:cs="Arial"/>
          <w:kern w:val="2"/>
          <w:sz w:val="21"/>
          <w:szCs w:val="21"/>
          <w:lang w:val="en-US" w:eastAsia="zh-CN" w:bidi="ar-SA"/>
        </w:rPr>
        <w:t>该模式支持每个标的单独设置保证金，针对每个标的报名。</w:t>
      </w:r>
    </w:p>
    <w:p w14:paraId="729FE6A0">
      <w:pPr>
        <w:pStyle w:val="12"/>
        <w:rPr>
          <w:rFonts w:hint="default" w:ascii="Arial" w:hAnsi="Arial" w:cs="Arial"/>
          <w:kern w:val="2"/>
          <w:sz w:val="21"/>
          <w:szCs w:val="21"/>
          <w:lang w:val="en-US" w:eastAsia="zh-CN" w:bidi="ar-SA"/>
        </w:rPr>
      </w:pPr>
    </w:p>
    <w:p w14:paraId="04CC2CEE">
      <w:pPr>
        <w:pStyle w:val="12"/>
        <w:rPr>
          <w:rFonts w:hint="default"/>
          <w:lang w:val="en-US" w:eastAsia="zh-CN"/>
        </w:rPr>
      </w:pPr>
      <w:r>
        <w:drawing>
          <wp:inline distT="0" distB="0" distL="114300" distR="114300">
            <wp:extent cx="4853305" cy="1710055"/>
            <wp:effectExtent l="0" t="0" r="4445" b="4445"/>
            <wp:docPr id="4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0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853305" cy="171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FFAD5">
      <w:pPr>
        <w:pStyle w:val="12"/>
        <w:ind w:firstLine="420" w:firstLineChars="0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信息披露期及交易方式、出租条件、保证金设置及其他与交易相关的其他条件、承租方资格条件都录入完成后，页面底部点击【</w:t>
      </w:r>
      <w:r>
        <w:rPr>
          <w:rFonts w:hint="eastAsia"/>
          <w:sz w:val="21"/>
          <w:szCs w:val="21"/>
          <w:lang w:eastAsia="zh-CN"/>
        </w:rPr>
        <w:t>保存信息</w:t>
      </w:r>
      <w:r>
        <w:rPr>
          <w:rFonts w:hint="eastAsia"/>
          <w:sz w:val="21"/>
          <w:szCs w:val="21"/>
          <w:lang w:val="en-US" w:eastAsia="zh-CN"/>
        </w:rPr>
        <w:t>】，进入下一页面。</w:t>
      </w:r>
    </w:p>
    <w:p w14:paraId="6D9CBA4E">
      <w:pPr>
        <w:pStyle w:val="12"/>
        <w:numPr>
          <w:ilvl w:val="0"/>
          <w:numId w:val="0"/>
        </w:numPr>
        <w:ind w:left="420" w:leftChars="0"/>
        <w:rPr>
          <w:rFonts w:hint="default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（4）标的信息页面，录入该租赁包的标的信息，如下图所示：</w:t>
      </w:r>
    </w:p>
    <w:p w14:paraId="6EC6D0F7">
      <w:pPr>
        <w:pStyle w:val="12"/>
        <w:ind w:left="0" w:leftChars="0" w:firstLine="0" w:firstLineChars="0"/>
      </w:pPr>
      <w:r>
        <w:drawing>
          <wp:inline distT="0" distB="0" distL="114300" distR="114300">
            <wp:extent cx="5266690" cy="1224280"/>
            <wp:effectExtent l="0" t="0" r="635" b="4445"/>
            <wp:docPr id="7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2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6FF39">
      <w:pPr>
        <w:pStyle w:val="12"/>
        <w:numPr>
          <w:ilvl w:val="0"/>
          <w:numId w:val="6"/>
        </w:numPr>
        <w:ind w:left="420" w:leftChars="0" w:hanging="420" w:firstLineChars="0"/>
        <w:rPr>
          <w:rFonts w:hint="default" w:ascii="Arial" w:hAnsi="Arial" w:eastAsia="宋体" w:cs="Arial"/>
          <w:b/>
          <w:bCs/>
          <w:kern w:val="2"/>
          <w:sz w:val="21"/>
          <w:szCs w:val="21"/>
          <w:lang w:val="en-US" w:eastAsia="zh-CN" w:bidi="ar-SA"/>
        </w:rPr>
      </w:pPr>
      <w:r>
        <w:rPr>
          <w:rFonts w:hint="eastAsia" w:ascii="Arial" w:hAnsi="Arial" w:cs="Arial"/>
          <w:b/>
          <w:bCs/>
          <w:kern w:val="2"/>
          <w:sz w:val="21"/>
          <w:szCs w:val="21"/>
          <w:lang w:val="en-US" w:eastAsia="zh-CN" w:bidi="ar-SA"/>
        </w:rPr>
        <w:t>新增标的</w:t>
      </w:r>
    </w:p>
    <w:p w14:paraId="50360001">
      <w:pPr>
        <w:pStyle w:val="12"/>
        <w:ind w:left="0" w:leftChars="0" w:firstLine="420" w:firstLineChars="0"/>
        <w:rPr>
          <w:rFonts w:hint="default" w:ascii="Arial" w:hAnsi="Arial" w:eastAsia="宋体" w:cs="Arial"/>
          <w:kern w:val="2"/>
          <w:sz w:val="21"/>
          <w:szCs w:val="21"/>
          <w:lang w:val="en-US" w:eastAsia="zh-CN" w:bidi="ar-SA"/>
        </w:rPr>
      </w:pPr>
      <w:r>
        <w:rPr>
          <w:rFonts w:hint="eastAsia" w:ascii="Arial" w:hAnsi="Arial" w:eastAsia="宋体" w:cs="Arial"/>
          <w:kern w:val="2"/>
          <w:sz w:val="21"/>
          <w:szCs w:val="21"/>
          <w:lang w:val="en-US" w:eastAsia="zh-CN" w:bidi="ar-SA"/>
        </w:rPr>
        <w:t>点击“新增标的”，进入新增项目页面，</w:t>
      </w:r>
      <w:r>
        <w:rPr>
          <w:rFonts w:hint="eastAsia" w:ascii="Arial" w:hAnsi="Arial" w:cs="Arial"/>
          <w:kern w:val="2"/>
          <w:sz w:val="21"/>
          <w:szCs w:val="21"/>
          <w:lang w:val="en-US" w:eastAsia="zh-CN" w:bidi="ar-SA"/>
        </w:rPr>
        <w:t>填写项目基本信息，标*号的为必填，页面如下图所示：</w:t>
      </w:r>
    </w:p>
    <w:p w14:paraId="0AB4D189">
      <w:pPr>
        <w:pStyle w:val="12"/>
        <w:ind w:left="0" w:leftChars="0" w:firstLine="420" w:firstLineChars="0"/>
        <w:rPr>
          <w:rFonts w:hint="eastAsia" w:ascii="Arial" w:hAnsi="Arial" w:eastAsia="宋体" w:cs="Arial"/>
          <w:kern w:val="2"/>
          <w:sz w:val="21"/>
          <w:szCs w:val="21"/>
          <w:lang w:val="en-US" w:eastAsia="zh-CN" w:bidi="ar-SA"/>
        </w:rPr>
      </w:pPr>
      <w:r>
        <w:drawing>
          <wp:inline distT="0" distB="0" distL="114300" distR="114300">
            <wp:extent cx="5267960" cy="3113405"/>
            <wp:effectExtent l="0" t="0" r="8890" b="1270"/>
            <wp:docPr id="4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11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26789">
      <w:pPr>
        <w:pStyle w:val="12"/>
        <w:ind w:left="420" w:leftChars="0" w:firstLine="420" w:firstLineChars="0"/>
        <w:rPr>
          <w:rFonts w:hint="eastAsia" w:ascii="Arial" w:hAnsi="Arial" w:cs="Arial"/>
          <w:kern w:val="2"/>
          <w:sz w:val="21"/>
          <w:szCs w:val="21"/>
          <w:lang w:val="en-US" w:eastAsia="zh-CN" w:bidi="ar-SA"/>
        </w:rPr>
      </w:pPr>
    </w:p>
    <w:p w14:paraId="3EF6EA71">
      <w:pPr>
        <w:pStyle w:val="12"/>
        <w:ind w:left="420" w:leftChars="0" w:firstLine="420" w:firstLineChars="0"/>
        <w:rPr>
          <w:rFonts w:hint="default" w:ascii="Arial" w:hAnsi="Arial" w:eastAsia="宋体" w:cs="Arial"/>
          <w:kern w:val="2"/>
          <w:sz w:val="21"/>
          <w:szCs w:val="21"/>
          <w:lang w:val="en-US" w:eastAsia="zh-CN" w:bidi="ar-SA"/>
        </w:rPr>
      </w:pPr>
      <w:r>
        <w:rPr>
          <w:rFonts w:hint="eastAsia" w:ascii="Arial" w:hAnsi="Arial" w:cs="Arial"/>
          <w:kern w:val="2"/>
          <w:sz w:val="21"/>
          <w:szCs w:val="21"/>
          <w:lang w:val="en-US" w:eastAsia="zh-CN" w:bidi="ar-SA"/>
        </w:rPr>
        <w:t>租期填写时，租期与租期截止日可选择一项填写，默认显示租期，若勾选“提供租期截止日”后，则可以填写租期截止日。</w:t>
      </w:r>
    </w:p>
    <w:p w14:paraId="26F4471B">
      <w:pPr>
        <w:pStyle w:val="12"/>
        <w:ind w:left="0" w:leftChars="0" w:firstLine="420" w:firstLineChars="0"/>
        <w:rPr>
          <w:rFonts w:hint="eastAsia" w:ascii="Arial" w:hAnsi="Arial" w:eastAsia="宋体" w:cs="Arial"/>
          <w:kern w:val="2"/>
          <w:sz w:val="21"/>
          <w:szCs w:val="21"/>
          <w:lang w:val="en-US" w:eastAsia="zh-CN" w:bidi="ar-SA"/>
        </w:rPr>
      </w:pPr>
    </w:p>
    <w:p w14:paraId="5BD41153">
      <w:pPr>
        <w:pStyle w:val="12"/>
        <w:ind w:left="0" w:leftChars="0" w:firstLine="420" w:firstLineChars="0"/>
      </w:pPr>
      <w:r>
        <w:drawing>
          <wp:inline distT="0" distB="0" distL="114300" distR="114300">
            <wp:extent cx="4196080" cy="414655"/>
            <wp:effectExtent l="0" t="0" r="4445" b="4445"/>
            <wp:docPr id="4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196080" cy="41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7D679">
      <w:pPr>
        <w:pStyle w:val="12"/>
        <w:ind w:left="420" w:leftChars="0" w:firstLine="420" w:firstLineChars="0"/>
        <w:rPr>
          <w:rFonts w:hint="default" w:eastAsia="宋体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kern w:val="2"/>
          <w:sz w:val="21"/>
          <w:szCs w:val="21"/>
          <w:lang w:val="en-US" w:eastAsia="zh-CN" w:bidi="ar-SA"/>
        </w:rPr>
        <w:t>是否涉及优先权：</w:t>
      </w:r>
      <w:r>
        <w:rPr>
          <w:rFonts w:hint="eastAsia" w:ascii="Arial" w:hAnsi="Arial" w:eastAsia="宋体" w:cs="Arial"/>
          <w:kern w:val="2"/>
          <w:sz w:val="21"/>
          <w:szCs w:val="21"/>
          <w:lang w:val="en-US" w:eastAsia="zh-CN" w:bidi="ar-SA"/>
        </w:rPr>
        <w:t>若出租标的涉及优先权，则勾选涉及，</w:t>
      </w:r>
      <w:r>
        <w:rPr>
          <w:rFonts w:hint="eastAsia" w:cs="Arial"/>
          <w:kern w:val="2"/>
          <w:sz w:val="21"/>
          <w:szCs w:val="21"/>
          <w:lang w:val="en-US" w:eastAsia="zh-CN" w:bidi="ar-SA"/>
        </w:rPr>
        <w:t>否则勾选不涉及。勾选涉及优先权后，在保存项目信息后，操作栏中会有添加优先权人按钮，点击后进入录入优先权人信息页面。</w:t>
      </w:r>
    </w:p>
    <w:p w14:paraId="5E9B7F4F">
      <w:pPr>
        <w:pStyle w:val="12"/>
        <w:ind w:left="0" w:leftChars="0" w:firstLine="420" w:firstLineChars="0"/>
        <w:rPr>
          <w:rFonts w:hint="eastAsia"/>
          <w:lang w:val="en-US" w:eastAsia="zh-CN"/>
        </w:rPr>
      </w:pPr>
    </w:p>
    <w:p w14:paraId="3D556FEA">
      <w:pPr>
        <w:pStyle w:val="12"/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4615180" cy="300355"/>
            <wp:effectExtent l="0" t="0" r="4445" b="4445"/>
            <wp:docPr id="9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1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615180" cy="30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78F05">
      <w:pPr>
        <w:pStyle w:val="12"/>
        <w:ind w:firstLine="420" w:firstLineChars="0"/>
        <w:rPr>
          <w:rFonts w:hint="default" w:ascii="Arial" w:hAnsi="Arial" w:eastAsia="宋体" w:cs="Arial"/>
          <w:kern w:val="2"/>
          <w:sz w:val="21"/>
          <w:szCs w:val="21"/>
          <w:lang w:val="en-US" w:eastAsia="zh-CN" w:bidi="ar-SA"/>
        </w:rPr>
      </w:pPr>
    </w:p>
    <w:p w14:paraId="5A279B16">
      <w:pPr>
        <w:pStyle w:val="12"/>
        <w:ind w:left="0" w:leftChars="0" w:firstLine="0" w:firstLineChars="0"/>
      </w:pPr>
      <w:r>
        <w:drawing>
          <wp:inline distT="0" distB="0" distL="114300" distR="114300">
            <wp:extent cx="5269865" cy="1102360"/>
            <wp:effectExtent l="0" t="0" r="6985" b="2540"/>
            <wp:docPr id="4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4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10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65758">
      <w:pPr>
        <w:pStyle w:val="12"/>
        <w:ind w:left="0" w:leftChars="0" w:firstLine="0" w:firstLineChars="0"/>
      </w:pPr>
      <w:r>
        <w:drawing>
          <wp:inline distT="0" distB="0" distL="114300" distR="114300">
            <wp:extent cx="4983480" cy="1653540"/>
            <wp:effectExtent l="0" t="0" r="7620" b="3810"/>
            <wp:docPr id="9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1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983480" cy="165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21C47">
      <w:pPr>
        <w:pStyle w:val="11"/>
        <w:bidi w:val="0"/>
        <w:jc w:val="both"/>
        <w:rPr>
          <w:rFonts w:hint="eastAsia" w:ascii="Times New Roman" w:hAnsi="Times New Roman" w:eastAsia="宋体" w:cs="Arial"/>
          <w:kern w:val="2"/>
          <w:sz w:val="21"/>
          <w:szCs w:val="21"/>
          <w:lang w:val="en-US" w:eastAsia="zh-CN" w:bidi="ar-SA"/>
        </w:rPr>
      </w:pPr>
      <w:r>
        <w:rPr>
          <w:rFonts w:hint="eastAsia"/>
          <w:sz w:val="21"/>
          <w:szCs w:val="21"/>
          <w:lang w:val="en-US" w:eastAsia="zh-CN"/>
        </w:rPr>
        <w:t>录入优先权人信息后保存，则添加一个优先权人信息。添加的优先权人在报名登记时会默认为该项目的优先权人。</w:t>
      </w:r>
    </w:p>
    <w:p w14:paraId="07DBD69C">
      <w:pPr>
        <w:pStyle w:val="12"/>
        <w:numPr>
          <w:ilvl w:val="0"/>
          <w:numId w:val="6"/>
        </w:numPr>
        <w:ind w:left="420" w:leftChars="0" w:hanging="420" w:firstLineChars="0"/>
        <w:rPr>
          <w:rFonts w:hint="default" w:ascii="Arial" w:hAnsi="Arial" w:cs="Arial"/>
          <w:b/>
          <w:bCs/>
          <w:kern w:val="2"/>
          <w:sz w:val="21"/>
          <w:szCs w:val="21"/>
          <w:lang w:val="en-US" w:eastAsia="zh-CN" w:bidi="ar-SA"/>
        </w:rPr>
      </w:pPr>
      <w:r>
        <w:rPr>
          <w:rFonts w:hint="eastAsia" w:ascii="Arial" w:hAnsi="Arial" w:cs="Arial"/>
          <w:b/>
          <w:bCs/>
          <w:kern w:val="2"/>
          <w:sz w:val="21"/>
          <w:szCs w:val="21"/>
          <w:lang w:val="en-US" w:eastAsia="zh-CN" w:bidi="ar-SA"/>
        </w:rPr>
        <w:t>添加资产信息</w:t>
      </w:r>
    </w:p>
    <w:p w14:paraId="52F17EA7">
      <w:pPr>
        <w:pStyle w:val="11"/>
        <w:bidi w:val="0"/>
        <w:jc w:val="both"/>
        <w:rPr>
          <w:rFonts w:hint="default" w:ascii="Times New Roman" w:hAnsi="Times New Roman" w:eastAsia="宋体" w:cs="Arial"/>
          <w:kern w:val="2"/>
          <w:sz w:val="21"/>
          <w:szCs w:val="21"/>
          <w:lang w:val="en-US" w:eastAsia="zh-CN" w:bidi="ar-SA"/>
        </w:rPr>
      </w:pPr>
      <w:r>
        <w:rPr>
          <w:rFonts w:hint="eastAsia" w:ascii="Times New Roman" w:hAnsi="Times New Roman" w:eastAsia="宋体" w:cs="Arial"/>
          <w:kern w:val="2"/>
          <w:sz w:val="21"/>
          <w:szCs w:val="21"/>
          <w:lang w:val="en-US" w:eastAsia="zh-CN" w:bidi="ar-SA"/>
        </w:rPr>
        <w:t>标的添加完毕后，可添加资产信息。点击“资产信息”后，导入列表中展示本企业下的资产，勾选一个资产后，点击导入按钮导入资产信息</w:t>
      </w:r>
      <w:r>
        <w:rPr>
          <w:rFonts w:hint="eastAsia" w:ascii="Times New Roman" w:hAnsi="Times New Roman" w:cs="Arial"/>
          <w:kern w:val="2"/>
          <w:sz w:val="21"/>
          <w:szCs w:val="21"/>
          <w:lang w:val="en-US" w:eastAsia="zh-CN" w:bidi="ar-SA"/>
        </w:rPr>
        <w:t>，导入成功后补充资产信息后</w:t>
      </w:r>
      <w:r>
        <w:rPr>
          <w:rFonts w:hint="eastAsia"/>
          <w:sz w:val="21"/>
          <w:szCs w:val="21"/>
          <w:lang w:val="en-US" w:eastAsia="zh-CN"/>
        </w:rPr>
        <w:t>保存资产信息。</w:t>
      </w:r>
    </w:p>
    <w:p w14:paraId="0AA91AB7">
      <w:pPr>
        <w:pStyle w:val="12"/>
        <w:ind w:left="0" w:leftChars="0" w:firstLine="0" w:firstLineChars="0"/>
        <w:rPr>
          <w:rFonts w:hint="eastAsia"/>
          <w:lang w:val="en-US" w:eastAsia="zh-CN"/>
        </w:rPr>
      </w:pPr>
    </w:p>
    <w:p w14:paraId="314BB30E">
      <w:pPr>
        <w:pStyle w:val="12"/>
        <w:ind w:left="0" w:leftChars="0" w:firstLine="0" w:firstLineChars="0"/>
      </w:pPr>
      <w:r>
        <w:drawing>
          <wp:inline distT="0" distB="0" distL="114300" distR="114300">
            <wp:extent cx="5273675" cy="1708785"/>
            <wp:effectExtent l="0" t="0" r="3175" b="5715"/>
            <wp:docPr id="5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5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70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B1BB8">
      <w:pPr>
        <w:pStyle w:val="12"/>
        <w:ind w:left="0" w:leftChars="0" w:firstLine="0" w:firstLineChars="0"/>
      </w:pPr>
      <w:r>
        <w:drawing>
          <wp:inline distT="0" distB="0" distL="114300" distR="114300">
            <wp:extent cx="5267960" cy="1813560"/>
            <wp:effectExtent l="0" t="0" r="8890" b="5715"/>
            <wp:docPr id="5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6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81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C83DC">
      <w:pPr>
        <w:pStyle w:val="12"/>
        <w:rPr>
          <w:rFonts w:hint="default"/>
          <w:lang w:val="en-US" w:eastAsia="zh-CN"/>
        </w:rPr>
      </w:pPr>
      <w:r>
        <w:drawing>
          <wp:inline distT="0" distB="0" distL="114300" distR="114300">
            <wp:extent cx="5269865" cy="2129790"/>
            <wp:effectExtent l="0" t="0" r="6985" b="3810"/>
            <wp:docPr id="5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27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12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F0914">
      <w:pPr>
        <w:pStyle w:val="1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420" w:leftChars="0" w:firstLine="420" w:firstLineChars="0"/>
        <w:textAlignment w:val="auto"/>
        <w:rPr>
          <w:rFonts w:hint="eastAsia"/>
          <w:sz w:val="21"/>
          <w:szCs w:val="21"/>
          <w:lang w:val="en-US" w:eastAsia="zh-CN"/>
        </w:rPr>
      </w:pPr>
    </w:p>
    <w:p w14:paraId="0B2C100E">
      <w:pPr>
        <w:pStyle w:val="1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420" w:leftChars="0" w:firstLine="420" w:firstLineChars="0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lang w:val="en-US" w:eastAsia="zh-CN"/>
        </w:rPr>
        <w:t>标的信息添加完成，若需要删除标的信息，可点击删除或者批量所有项目进行删除。</w:t>
      </w:r>
    </w:p>
    <w:p w14:paraId="0FAA2116">
      <w:pPr>
        <w:pStyle w:val="1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</w:pPr>
      <w:r>
        <w:drawing>
          <wp:inline distT="0" distB="0" distL="114300" distR="114300">
            <wp:extent cx="5271770" cy="1384300"/>
            <wp:effectExtent l="0" t="0" r="5080" b="6350"/>
            <wp:docPr id="11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2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38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E5543">
      <w:pPr>
        <w:pStyle w:val="1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0"/>
        <w:textAlignment w:val="auto"/>
        <w:rPr>
          <w:rFonts w:hint="default"/>
          <w:lang w:val="en-US" w:eastAsia="zh-CN"/>
        </w:rPr>
      </w:pPr>
    </w:p>
    <w:p w14:paraId="6C2B62C1">
      <w:pPr>
        <w:pStyle w:val="1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420" w:leftChars="0" w:firstLine="420" w:firstLineChars="0"/>
        <w:textAlignment w:val="auto"/>
        <w:rPr>
          <w:rFonts w:hint="eastAsia"/>
          <w:sz w:val="21"/>
          <w:szCs w:val="21"/>
          <w:lang w:eastAsia="zh-CN"/>
        </w:rPr>
      </w:pPr>
      <w:r>
        <w:rPr>
          <w:rFonts w:hint="eastAsia"/>
          <w:sz w:val="21"/>
          <w:szCs w:val="21"/>
          <w:lang w:val="en-US" w:eastAsia="zh-CN"/>
        </w:rPr>
        <w:t>标的信息确认无误后，点击</w:t>
      </w:r>
      <w:r>
        <w:rPr>
          <w:rFonts w:hint="eastAsia"/>
          <w:color w:val="2E54A1" w:themeColor="accent1" w:themeShade="BF"/>
          <w:sz w:val="21"/>
          <w:szCs w:val="21"/>
          <w:lang w:val="en-US" w:eastAsia="zh-CN"/>
        </w:rPr>
        <w:t>⑤评估信息</w:t>
      </w:r>
      <w:r>
        <w:rPr>
          <w:rFonts w:hint="eastAsia"/>
          <w:sz w:val="21"/>
          <w:szCs w:val="21"/>
          <w:lang w:eastAsia="zh-CN"/>
        </w:rPr>
        <w:t>进入</w:t>
      </w:r>
      <w:r>
        <w:rPr>
          <w:rFonts w:hint="eastAsia"/>
          <w:sz w:val="21"/>
          <w:szCs w:val="21"/>
          <w:lang w:val="en-US" w:eastAsia="zh-CN"/>
        </w:rPr>
        <w:t>评估信息录入</w:t>
      </w:r>
      <w:r>
        <w:rPr>
          <w:rFonts w:hint="eastAsia"/>
          <w:sz w:val="21"/>
          <w:szCs w:val="21"/>
          <w:lang w:eastAsia="zh-CN"/>
        </w:rPr>
        <w:t>界面。</w:t>
      </w:r>
    </w:p>
    <w:p w14:paraId="2445783A">
      <w:pPr>
        <w:pStyle w:val="12"/>
        <w:numPr>
          <w:ilvl w:val="0"/>
          <w:numId w:val="0"/>
        </w:numPr>
        <w:ind w:left="420" w:leftChars="0"/>
        <w:rPr>
          <w:rFonts w:hint="default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（5）评估信息界面，录入评估信息。</w:t>
      </w:r>
    </w:p>
    <w:p w14:paraId="241A85BD">
      <w:pPr>
        <w:pStyle w:val="12"/>
        <w:numPr>
          <w:ilvl w:val="0"/>
          <w:numId w:val="0"/>
        </w:numPr>
        <w:ind w:left="420" w:leftChars="0"/>
      </w:pPr>
      <w:r>
        <w:drawing>
          <wp:inline distT="0" distB="0" distL="114300" distR="114300">
            <wp:extent cx="5271770" cy="1692910"/>
            <wp:effectExtent l="0" t="0" r="5080" b="2540"/>
            <wp:docPr id="11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32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69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03AF7">
      <w:pPr>
        <w:pStyle w:val="11"/>
        <w:numPr>
          <w:ilvl w:val="0"/>
          <w:numId w:val="0"/>
        </w:numPr>
        <w:ind w:left="420"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评估信息录入</w:t>
      </w:r>
    </w:p>
    <w:p w14:paraId="7161A3BC">
      <w:pPr>
        <w:rPr>
          <w:rFonts w:hint="eastAsia" w:ascii="Times New Roman" w:hAnsi="Times New Roman" w:eastAsia="宋体" w:cs="Times New Roman"/>
          <w:kern w:val="2"/>
          <w:sz w:val="21"/>
          <w:szCs w:val="21"/>
          <w:lang w:val="en-US" w:eastAsia="zh-CN" w:bidi="ar-SA"/>
        </w:rPr>
      </w:pPr>
      <w:r>
        <w:rPr>
          <w:rFonts w:hint="eastAsia" w:ascii="Times New Roman" w:hAnsi="Times New Roman" w:eastAsia="宋体" w:cs="Times New Roman"/>
          <w:kern w:val="2"/>
          <w:sz w:val="21"/>
          <w:szCs w:val="21"/>
          <w:lang w:val="en-US" w:eastAsia="zh-CN" w:bidi="ar-SA"/>
        </w:rPr>
        <w:t>如果该包下所有标的评估报告一样（仅评估值不同），</w:t>
      </w:r>
      <w:r>
        <w:rPr>
          <w:rFonts w:hint="eastAsia" w:cs="Times New Roman"/>
          <w:kern w:val="2"/>
          <w:sz w:val="21"/>
          <w:szCs w:val="21"/>
          <w:lang w:val="en-US" w:eastAsia="zh-CN" w:bidi="ar-SA"/>
        </w:rPr>
        <w:t>需要该页面</w:t>
      </w:r>
      <w:r>
        <w:rPr>
          <w:rFonts w:hint="eastAsia" w:ascii="Times New Roman" w:hAnsi="Times New Roman" w:eastAsia="宋体" w:cs="Times New Roman"/>
          <w:kern w:val="2"/>
          <w:sz w:val="21"/>
          <w:szCs w:val="21"/>
          <w:lang w:val="en-US" w:eastAsia="zh-CN" w:bidi="ar-SA"/>
        </w:rPr>
        <w:t>录入评估信息，标的评估价格在标的列表上填写。如果个别标的评估报告不同，请在标的列表上单独填写评估信息。</w:t>
      </w:r>
    </w:p>
    <w:p w14:paraId="3ABB3B22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评估信息录入完成后点击【保存信息】，点击⑥</w:t>
      </w:r>
      <w:r>
        <w:rPr>
          <w:rFonts w:hint="eastAsia" w:ascii="Times New Roman" w:hAnsi="Times New Roman" w:eastAsia="宋体" w:cs="Times New Roman"/>
          <w:color w:val="2E54A1" w:themeColor="accent1" w:themeShade="BF"/>
          <w:kern w:val="2"/>
          <w:sz w:val="21"/>
          <w:szCs w:val="21"/>
          <w:lang w:val="en-US" w:eastAsia="zh-CN" w:bidi="ar-SA"/>
        </w:rPr>
        <w:t>项目相关附件</w:t>
      </w:r>
      <w:r>
        <w:rPr>
          <w:rFonts w:hint="eastAsia"/>
          <w:lang w:val="en-US" w:eastAsia="zh-CN"/>
        </w:rPr>
        <w:t>进入项目相关附件界面</w:t>
      </w:r>
    </w:p>
    <w:p w14:paraId="7877FE13">
      <w:pPr>
        <w:pStyle w:val="1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420" w:leftChars="0"/>
        <w:textAlignment w:val="auto"/>
        <w:rPr>
          <w:rFonts w:hint="eastAsia"/>
          <w:lang w:eastAsia="zh-CN"/>
        </w:rPr>
      </w:pPr>
      <w:r>
        <w:rPr>
          <w:rFonts w:hint="eastAsia"/>
          <w:sz w:val="21"/>
          <w:szCs w:val="21"/>
          <w:lang w:val="en-US" w:eastAsia="zh-CN"/>
        </w:rPr>
        <w:t>（6）项目附件界面，可添加委托方附件。列表中“要求材料关联信息”显示附件关联信息并根据条件显示是否必填，需按要求上传附件。如下图所示：</w:t>
      </w:r>
    </w:p>
    <w:p w14:paraId="0293E106">
      <w:r>
        <w:drawing>
          <wp:inline distT="0" distB="0" distL="114300" distR="114300">
            <wp:extent cx="5266690" cy="2267585"/>
            <wp:effectExtent l="0" t="0" r="635" b="8890"/>
            <wp:docPr id="55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2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6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C6B4A">
      <w:pPr>
        <w:pStyle w:val="12"/>
        <w:jc w:val="center"/>
        <w:rPr>
          <w:rFonts w:hint="eastAsia"/>
          <w:sz w:val="18"/>
          <w:szCs w:val="18"/>
          <w:lang w:val="en-US" w:eastAsia="zh-CN"/>
        </w:rPr>
      </w:pPr>
      <w:r>
        <w:rPr>
          <w:rFonts w:hint="eastAsia"/>
          <w:sz w:val="18"/>
          <w:szCs w:val="18"/>
          <w:lang w:val="en-US" w:eastAsia="zh-CN"/>
        </w:rPr>
        <w:t xml:space="preserve"> 委托方附件上传</w:t>
      </w:r>
    </w:p>
    <w:p w14:paraId="597B3BA2">
      <w:pPr>
        <w:pStyle w:val="1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420" w:leftChars="0"/>
        <w:textAlignment w:val="auto"/>
        <w:rPr>
          <w:rFonts w:hint="eastAsia"/>
          <w:lang w:eastAsia="zh-CN"/>
        </w:rPr>
      </w:pPr>
      <w:r>
        <w:rPr>
          <w:rFonts w:hint="eastAsia"/>
          <w:sz w:val="21"/>
          <w:szCs w:val="21"/>
          <w:lang w:val="en-US" w:eastAsia="zh-CN"/>
        </w:rPr>
        <w:t>（7）选择审核部门界面，可选择一个业务部门去审核委托项目。如下图所示：</w:t>
      </w:r>
    </w:p>
    <w:p w14:paraId="655C46D7">
      <w:pPr>
        <w:pStyle w:val="12"/>
        <w:jc w:val="center"/>
        <w:rPr>
          <w:rFonts w:hint="default"/>
          <w:sz w:val="18"/>
          <w:szCs w:val="18"/>
          <w:lang w:val="en-US" w:eastAsia="zh-CN"/>
        </w:rPr>
      </w:pPr>
    </w:p>
    <w:p w14:paraId="1A495BDD">
      <w:pPr>
        <w:pStyle w:val="12"/>
        <w:jc w:val="center"/>
      </w:pPr>
      <w:r>
        <w:drawing>
          <wp:inline distT="0" distB="0" distL="114300" distR="114300">
            <wp:extent cx="5270500" cy="1340485"/>
            <wp:effectExtent l="0" t="0" r="6350" b="2540"/>
            <wp:docPr id="1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5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4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D06D6">
      <w:pPr>
        <w:pStyle w:val="12"/>
        <w:jc w:val="center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注：若委托方隶属关系为市属国企下的集团，则系统会自动分配审核部门，且无法变更。</w:t>
      </w:r>
    </w:p>
    <w:p w14:paraId="16D26F4F">
      <w:pPr>
        <w:pStyle w:val="12"/>
        <w:jc w:val="center"/>
        <w:rPr>
          <w:rFonts w:hint="default"/>
          <w:sz w:val="18"/>
          <w:szCs w:val="18"/>
          <w:lang w:val="en-US" w:eastAsia="zh-CN"/>
        </w:rPr>
      </w:pPr>
    </w:p>
    <w:p w14:paraId="01BD053C">
      <w:pPr>
        <w:pStyle w:val="12"/>
        <w:jc w:val="both"/>
        <w:rPr>
          <w:rFonts w:hint="eastAsia" w:ascii="Times New Roman" w:hAnsi="Times New Roman" w:eastAsia="宋体" w:cs="Times New Roman"/>
          <w:kern w:val="2"/>
          <w:sz w:val="21"/>
          <w:szCs w:val="21"/>
          <w:lang w:val="en-US" w:eastAsia="zh-CN" w:bidi="ar-SA"/>
        </w:rPr>
      </w:pPr>
      <w:r>
        <w:rPr>
          <w:rFonts w:hint="eastAsia" w:ascii="Times New Roman" w:hAnsi="Times New Roman" w:eastAsia="宋体" w:cs="Times New Roman"/>
          <w:kern w:val="2"/>
          <w:sz w:val="21"/>
          <w:szCs w:val="21"/>
          <w:lang w:val="en-US" w:eastAsia="zh-CN" w:bidi="ar-SA"/>
        </w:rPr>
        <w:t>项目所有信息</w:t>
      </w:r>
      <w:r>
        <w:rPr>
          <w:rFonts w:hint="eastAsia" w:cs="Times New Roman"/>
          <w:kern w:val="2"/>
          <w:sz w:val="21"/>
          <w:szCs w:val="21"/>
          <w:lang w:val="en-US" w:eastAsia="zh-CN" w:bidi="ar-SA"/>
        </w:rPr>
        <w:t>都</w:t>
      </w:r>
      <w:r>
        <w:rPr>
          <w:rFonts w:hint="eastAsia" w:ascii="Times New Roman" w:hAnsi="Times New Roman" w:eastAsia="宋体" w:cs="Times New Roman"/>
          <w:kern w:val="2"/>
          <w:sz w:val="21"/>
          <w:szCs w:val="21"/>
          <w:lang w:val="en-US" w:eastAsia="zh-CN" w:bidi="ar-SA"/>
        </w:rPr>
        <w:t>录入完成后，</w:t>
      </w:r>
      <w:r>
        <w:rPr>
          <w:rFonts w:hint="eastAsia" w:cs="Times New Roman"/>
          <w:kern w:val="2"/>
          <w:sz w:val="21"/>
          <w:szCs w:val="21"/>
          <w:lang w:val="en-US" w:eastAsia="zh-CN" w:bidi="ar-SA"/>
        </w:rPr>
        <w:t>点击提交审核可启动审批流程。点击确定后，则自动</w:t>
      </w:r>
      <w:r>
        <w:rPr>
          <w:rFonts w:hint="eastAsia" w:ascii="Times New Roman" w:hAnsi="Times New Roman" w:eastAsia="宋体" w:cs="Times New Roman"/>
          <w:kern w:val="2"/>
          <w:sz w:val="21"/>
          <w:szCs w:val="21"/>
          <w:lang w:val="en-US" w:eastAsia="zh-CN" w:bidi="ar-SA"/>
        </w:rPr>
        <w:t>【</w:t>
      </w:r>
      <w:r>
        <w:rPr>
          <w:rFonts w:hint="eastAsia" w:cs="Times New Roman"/>
          <w:kern w:val="2"/>
          <w:sz w:val="21"/>
          <w:szCs w:val="21"/>
          <w:lang w:val="en-US" w:eastAsia="zh-CN" w:bidi="ar-SA"/>
        </w:rPr>
        <w:t>下载信息</w:t>
      </w:r>
      <w:r>
        <w:rPr>
          <w:rFonts w:hint="eastAsia" w:ascii="Times New Roman" w:hAnsi="Times New Roman" w:eastAsia="宋体" w:cs="Times New Roman"/>
          <w:kern w:val="2"/>
          <w:sz w:val="21"/>
          <w:szCs w:val="21"/>
          <w:lang w:val="en-US" w:eastAsia="zh-CN" w:bidi="ar-SA"/>
        </w:rPr>
        <w:t>披露申请书】</w:t>
      </w:r>
    </w:p>
    <w:p w14:paraId="4D20951F">
      <w:pPr>
        <w:pStyle w:val="12"/>
        <w:jc w:val="both"/>
      </w:pPr>
      <w:r>
        <w:drawing>
          <wp:inline distT="0" distB="0" distL="114300" distR="114300">
            <wp:extent cx="5622290" cy="2355215"/>
            <wp:effectExtent l="0" t="0" r="6985" b="6985"/>
            <wp:docPr id="11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35"/>
                    <pic:cNvPicPr>
                      <a:picLocks noChangeAspect="1"/>
                    </pic:cNvPicPr>
                  </pic:nvPicPr>
                  <pic:blipFill>
                    <a:blip r:embed="rId40"/>
                    <a:srcRect t="13764"/>
                    <a:stretch>
                      <a:fillRect/>
                    </a:stretch>
                  </pic:blipFill>
                  <pic:spPr>
                    <a:xfrm>
                      <a:off x="0" y="0"/>
                      <a:ext cx="5622290" cy="235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5086D">
      <w:pPr>
        <w:pStyle w:val="11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打印披露申请书</w:t>
      </w:r>
    </w:p>
    <w:p w14:paraId="0B13142B">
      <w:pPr>
        <w:jc w:val="center"/>
        <w:rPr>
          <w:rFonts w:hint="default"/>
          <w:lang w:val="en-US" w:eastAsia="zh-CN"/>
        </w:rPr>
      </w:pPr>
    </w:p>
    <w:p w14:paraId="26F23DC7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420" w:leftChars="0"/>
        <w:jc w:val="left"/>
        <w:textAlignment w:val="auto"/>
        <w:rPr>
          <w:rFonts w:hint="eastAsia" w:ascii="Times New Roman" w:hAnsi="Times New Roman" w:eastAsia="宋体" w:cs="Times New Roman"/>
          <w:kern w:val="2"/>
          <w:sz w:val="21"/>
          <w:szCs w:val="21"/>
          <w:lang w:val="en-US" w:eastAsia="zh-CN" w:bidi="ar-SA"/>
        </w:rPr>
      </w:pPr>
      <w:r>
        <w:rPr>
          <w:rFonts w:hint="eastAsia" w:cs="Times New Roman"/>
          <w:kern w:val="2"/>
          <w:sz w:val="21"/>
          <w:szCs w:val="21"/>
          <w:lang w:val="en-US" w:eastAsia="zh-CN" w:bidi="ar-SA"/>
        </w:rPr>
        <w:t>提交审核后，</w:t>
      </w:r>
      <w:r>
        <w:rPr>
          <w:rFonts w:hint="eastAsia" w:ascii="Times New Roman" w:hAnsi="Times New Roman" w:eastAsia="宋体" w:cs="Times New Roman"/>
          <w:kern w:val="2"/>
          <w:sz w:val="21"/>
          <w:szCs w:val="21"/>
          <w:lang w:val="en-US" w:eastAsia="zh-CN" w:bidi="ar-SA"/>
        </w:rPr>
        <w:t>可在</w:t>
      </w:r>
      <w:r>
        <w:rPr>
          <w:rFonts w:hint="eastAsia" w:cs="Times New Roman"/>
          <w:kern w:val="2"/>
          <w:sz w:val="21"/>
          <w:szCs w:val="21"/>
          <w:lang w:val="en-US" w:eastAsia="zh-CN" w:bidi="ar-SA"/>
        </w:rPr>
        <w:t>委托中项目列表中上传</w:t>
      </w:r>
      <w:r>
        <w:rPr>
          <w:rFonts w:hint="eastAsia" w:cs="Times New Roman"/>
          <w:color w:val="FF0000"/>
          <w:kern w:val="2"/>
          <w:sz w:val="21"/>
          <w:szCs w:val="21"/>
          <w:lang w:val="en-US" w:eastAsia="zh-CN" w:bidi="ar-SA"/>
        </w:rPr>
        <w:t>已盖章信息披露申请书</w:t>
      </w:r>
      <w:r>
        <w:rPr>
          <w:rFonts w:hint="eastAsia" w:cs="Times New Roman"/>
          <w:kern w:val="2"/>
          <w:sz w:val="21"/>
          <w:szCs w:val="21"/>
          <w:lang w:val="en-US" w:eastAsia="zh-CN" w:bidi="ar-SA"/>
        </w:rPr>
        <w:t>，并可以查看项目交易进度。</w:t>
      </w:r>
    </w:p>
    <w:p w14:paraId="636DB58C">
      <w:pPr>
        <w:pStyle w:val="12"/>
      </w:pPr>
      <w:r>
        <w:drawing>
          <wp:inline distT="0" distB="0" distL="114300" distR="114300">
            <wp:extent cx="5270500" cy="1271905"/>
            <wp:effectExtent l="0" t="0" r="6350" b="4445"/>
            <wp:docPr id="11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20"/>
                    <pic:cNvPicPr>
                      <a:picLocks noChangeAspect="1"/>
                    </pic:cNvPicPr>
                  </pic:nvPicPr>
                  <pic:blipFill>
                    <a:blip r:embed="rId63"/>
                    <a:srcRect b="1105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27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90F08">
      <w:pPr>
        <w:rPr>
          <w:rFonts w:hint="default"/>
          <w:lang w:val="en-US" w:eastAsia="zh-CN"/>
        </w:rPr>
      </w:pPr>
    </w:p>
    <w:p w14:paraId="3E743EC9">
      <w:pPr>
        <w:pStyle w:val="2"/>
        <w:bidi w:val="0"/>
        <w:rPr>
          <w:rFonts w:hint="default"/>
          <w:lang w:val="en-US" w:eastAsia="zh-CN"/>
        </w:rPr>
      </w:pPr>
      <w:bookmarkStart w:id="10" w:name="_Toc14336"/>
      <w:r>
        <w:rPr>
          <w:rFonts w:hint="eastAsia"/>
          <w:lang w:val="en-US" w:eastAsia="zh-CN"/>
        </w:rPr>
        <w:t>委托项目管理</w:t>
      </w:r>
      <w:bookmarkEnd w:id="10"/>
    </w:p>
    <w:p w14:paraId="5A04C0A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委托方提交交易中心受理后，委托方可以用户中心-交易中心查看项目交易状态。</w:t>
      </w:r>
    </w:p>
    <w:p w14:paraId="77813536">
      <w:pPr>
        <w:pStyle w:val="3"/>
      </w:pPr>
      <w:bookmarkStart w:id="11" w:name="_Toc17430"/>
      <w:r>
        <w:rPr>
          <w:rFonts w:hint="eastAsia"/>
          <w:lang w:val="en-US" w:eastAsia="zh-CN"/>
        </w:rPr>
        <w:t>委托中项目</w:t>
      </w:r>
      <w:bookmarkEnd w:id="11"/>
    </w:p>
    <w:p w14:paraId="73F03F1F">
      <w:pPr>
        <w:rPr>
          <w:rFonts w:hint="default"/>
          <w:lang w:val="en-US"/>
        </w:rPr>
      </w:pPr>
      <w:r>
        <w:rPr>
          <w:rFonts w:hint="eastAsia"/>
          <w:lang w:val="en-US" w:eastAsia="zh-CN"/>
        </w:rPr>
        <w:t>委托中项目列表显示尚未挂牌的委托项目。包括录入中、审核中、已退回的项目，可根据状态进行查询项目，在进度流程图下方可以查看所处状态及提示信息，如下图所示：</w:t>
      </w:r>
    </w:p>
    <w:p w14:paraId="67BB820F">
      <w:r>
        <w:drawing>
          <wp:inline distT="0" distB="0" distL="114300" distR="114300">
            <wp:extent cx="5267960" cy="2209800"/>
            <wp:effectExtent l="0" t="0" r="8890" b="0"/>
            <wp:docPr id="1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7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F60CC">
      <w:pPr>
        <w:pStyle w:val="3"/>
      </w:pPr>
      <w:bookmarkStart w:id="12" w:name="_Toc12785"/>
      <w:r>
        <w:rPr>
          <w:rFonts w:hint="eastAsia"/>
          <w:lang w:val="en-US" w:eastAsia="zh-CN"/>
        </w:rPr>
        <w:t>已挂牌项目</w:t>
      </w:r>
      <w:bookmarkEnd w:id="12"/>
    </w:p>
    <w:p w14:paraId="7052A1AC">
      <w:pPr>
        <w:pStyle w:val="1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已挂牌项目列表中展示挂牌后的委托项目，以及挂牌项目后续交易。</w:t>
      </w:r>
    </w:p>
    <w:p w14:paraId="60DE1092">
      <w:pPr>
        <w:pStyle w:val="1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可根据状态查询项目，包括挂牌中、交易中、成交、归档、全部项目。在进度流程图下方可以查看所处状态及提示信息，如下图所示：</w:t>
      </w:r>
    </w:p>
    <w:p w14:paraId="68F5BDAB">
      <w:pPr>
        <w:pStyle w:val="12"/>
        <w:rPr>
          <w:rFonts w:hint="default"/>
          <w:lang w:val="en-US" w:eastAsia="zh-CN"/>
        </w:rPr>
      </w:pPr>
      <w:r>
        <w:drawing>
          <wp:inline distT="0" distB="0" distL="114300" distR="114300">
            <wp:extent cx="5267960" cy="2584450"/>
            <wp:effectExtent l="0" t="0" r="8890" b="6350"/>
            <wp:docPr id="1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8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58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CA4B3">
      <w:pPr>
        <w:pStyle w:val="3"/>
      </w:pPr>
      <w:bookmarkStart w:id="13" w:name="_Toc20091"/>
      <w:r>
        <w:rPr>
          <w:rFonts w:hint="eastAsia"/>
          <w:lang w:val="en-US" w:eastAsia="zh-CN"/>
        </w:rPr>
        <w:t>已成交项目</w:t>
      </w:r>
      <w:bookmarkEnd w:id="13"/>
    </w:p>
    <w:p w14:paraId="511A0B00">
      <w:pPr>
        <w:pStyle w:val="1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已成交项目列表中展示已成交的委托项目，可以跟踪后续成交签约和结算事项。包括合同签约、交易凭证、价款划出等。</w:t>
      </w:r>
    </w:p>
    <w:p w14:paraId="5DCBF89A">
      <w:pPr>
        <w:pStyle w:val="12"/>
        <w:rPr>
          <w:rFonts w:hint="default"/>
          <w:lang w:val="en-US" w:eastAsia="zh-CN"/>
        </w:rPr>
      </w:pPr>
      <w:r>
        <w:drawing>
          <wp:inline distT="0" distB="0" distL="114300" distR="114300">
            <wp:extent cx="5269865" cy="2773045"/>
            <wp:effectExtent l="0" t="0" r="6985" b="8255"/>
            <wp:docPr id="2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9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77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696C5">
      <w:pPr>
        <w:rPr>
          <w:rFonts w:hint="eastAsia"/>
          <w:lang w:val="en-US" w:eastAsia="zh-CN"/>
        </w:rPr>
      </w:pPr>
    </w:p>
    <w:p w14:paraId="68548210">
      <w:pPr>
        <w:pStyle w:val="2"/>
        <w:bidi w:val="0"/>
        <w:rPr>
          <w:rFonts w:hint="default"/>
          <w:lang w:val="en-US" w:eastAsia="zh-CN"/>
        </w:rPr>
      </w:pPr>
      <w:bookmarkStart w:id="14" w:name="_Toc12605"/>
      <w:r>
        <w:rPr>
          <w:rFonts w:hint="eastAsia"/>
          <w:lang w:val="en-US" w:eastAsia="zh-CN"/>
        </w:rPr>
        <w:t>待办事项</w:t>
      </w:r>
      <w:bookmarkEnd w:id="14"/>
    </w:p>
    <w:p w14:paraId="488BB88C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委托方用户中心的待办事项列表中，会显示需要委托方办理的任务。包括委托项目退回后修改、委托方确认项目公告等。</w:t>
      </w:r>
    </w:p>
    <w:p w14:paraId="4901A2BA">
      <w:pPr>
        <w:pStyle w:val="3"/>
      </w:pPr>
      <w:bookmarkStart w:id="15" w:name="_Toc24521"/>
      <w:r>
        <w:rPr>
          <w:rFonts w:hint="eastAsia"/>
          <w:lang w:val="en-US" w:eastAsia="zh-CN"/>
        </w:rPr>
        <w:t>委托方修改</w:t>
      </w:r>
      <w:bookmarkEnd w:id="15"/>
    </w:p>
    <w:p w14:paraId="6D7B84DC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委托项目被退回后，可以在我的待办列表中重新修改。点击“办理”后重新修改项目进行提交。</w:t>
      </w:r>
    </w:p>
    <w:p w14:paraId="474821EB">
      <w:pPr>
        <w:pStyle w:val="12"/>
      </w:pPr>
      <w:r>
        <w:drawing>
          <wp:inline distT="0" distB="0" distL="114300" distR="114300">
            <wp:extent cx="5268595" cy="2110105"/>
            <wp:effectExtent l="0" t="0" r="8255" b="4445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11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91E79">
      <w:pPr>
        <w:pStyle w:val="12"/>
      </w:pPr>
    </w:p>
    <w:p w14:paraId="67DC0712">
      <w:pPr>
        <w:pStyle w:val="12"/>
      </w:pPr>
      <w:r>
        <w:drawing>
          <wp:inline distT="0" distB="0" distL="114300" distR="114300">
            <wp:extent cx="5268595" cy="2534285"/>
            <wp:effectExtent l="0" t="0" r="8255" b="8890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A28A0">
      <w:pPr>
        <w:pStyle w:val="12"/>
        <w:ind w:left="420" w:leftChars="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需要注意的是，退回修改时委托方无法自行变更审核部门。</w:t>
      </w:r>
    </w:p>
    <w:p w14:paraId="241ABABA">
      <w:pPr>
        <w:pStyle w:val="3"/>
      </w:pPr>
      <w:bookmarkStart w:id="16" w:name="_Toc4062"/>
      <w:r>
        <w:rPr>
          <w:rFonts w:hint="eastAsia"/>
          <w:lang w:val="en-US" w:eastAsia="zh-CN"/>
        </w:rPr>
        <w:t>委托方项目公告确认</w:t>
      </w:r>
      <w:bookmarkEnd w:id="16"/>
    </w:p>
    <w:p w14:paraId="2C55DAF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若委托项目选择需要委托方确认项目公告，交易中心内部审核后，会需要委托方确认公告。</w:t>
      </w:r>
    </w:p>
    <w:p w14:paraId="7A37E846">
      <w:pPr>
        <w:pStyle w:val="1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在我的待办列表中可以查看委托方项目公告确认待办，点击“办理”后，查看公告信息并给出审核意见。</w:t>
      </w:r>
    </w:p>
    <w:p w14:paraId="47210318">
      <w:pPr>
        <w:pStyle w:val="12"/>
      </w:pPr>
      <w:r>
        <w:drawing>
          <wp:inline distT="0" distB="0" distL="114300" distR="114300">
            <wp:extent cx="5266690" cy="1646555"/>
            <wp:effectExtent l="0" t="0" r="635" b="1270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4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17D9A">
      <w:pPr>
        <w:pStyle w:val="12"/>
      </w:pPr>
    </w:p>
    <w:p w14:paraId="7D79D54D">
      <w:pPr>
        <w:pStyle w:val="12"/>
      </w:pPr>
      <w:r>
        <w:drawing>
          <wp:inline distT="0" distB="0" distL="114300" distR="114300">
            <wp:extent cx="5269865" cy="2633345"/>
            <wp:effectExtent l="0" t="0" r="6985" b="5080"/>
            <wp:docPr id="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3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5281E">
      <w:pPr>
        <w:pStyle w:val="12"/>
      </w:pPr>
    </w:p>
    <w:p w14:paraId="4A0FEF5C"/>
    <w:p w14:paraId="1FCE6116">
      <w:pPr>
        <w:pStyle w:val="12"/>
      </w:pPr>
    </w:p>
    <w:p w14:paraId="00E69719">
      <w:pPr>
        <w:pStyle w:val="12"/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7A87" w:usb1="80000000" w:usb2="00000008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72CC0B5"/>
    <w:multiLevelType w:val="singleLevel"/>
    <w:tmpl w:val="972CC0B5"/>
    <w:lvl w:ilvl="0" w:tentative="0">
      <w:start w:val="1"/>
      <w:numFmt w:val="decimal"/>
      <w:suff w:val="nothing"/>
      <w:lvlText w:val="%1）"/>
      <w:lvlJc w:val="left"/>
    </w:lvl>
  </w:abstractNum>
  <w:abstractNum w:abstractNumId="1">
    <w:nsid w:val="B043EB75"/>
    <w:multiLevelType w:val="singleLevel"/>
    <w:tmpl w:val="B043EB75"/>
    <w:lvl w:ilvl="0" w:tentative="0">
      <w:start w:val="1"/>
      <w:numFmt w:val="bullet"/>
      <w:lvlText w:val="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2">
    <w:nsid w:val="C2BD86D8"/>
    <w:multiLevelType w:val="singleLevel"/>
    <w:tmpl w:val="C2BD86D8"/>
    <w:lvl w:ilvl="0" w:tentative="0">
      <w:start w:val="1"/>
      <w:numFmt w:val="bullet"/>
      <w:lvlText w:val=""/>
      <w:lvlJc w:val="left"/>
      <w:pPr>
        <w:tabs>
          <w:tab w:val="left" w:pos="420"/>
        </w:tabs>
        <w:ind w:left="840" w:hanging="420"/>
      </w:pPr>
      <w:rPr>
        <w:rFonts w:hint="default" w:ascii="Wingdings" w:hAnsi="Wingdings"/>
      </w:rPr>
    </w:lvl>
  </w:abstractNum>
  <w:abstractNum w:abstractNumId="3">
    <w:nsid w:val="22A504A3"/>
    <w:multiLevelType w:val="singleLevel"/>
    <w:tmpl w:val="22A504A3"/>
    <w:lvl w:ilvl="0" w:tentative="0">
      <w:start w:val="2"/>
      <w:numFmt w:val="decimal"/>
      <w:suff w:val="nothing"/>
      <w:lvlText w:val="（%1）"/>
      <w:lvlJc w:val="left"/>
    </w:lvl>
  </w:abstractNum>
  <w:abstractNum w:abstractNumId="4">
    <w:nsid w:val="3291745A"/>
    <w:multiLevelType w:val="multilevel"/>
    <w:tmpl w:val="3291745A"/>
    <w:lvl w:ilvl="0" w:tentative="0">
      <w:start w:val="1"/>
      <w:numFmt w:val="decimal"/>
      <w:pStyle w:val="2"/>
      <w:lvlText w:val="%1."/>
      <w:lvlJc w:val="left"/>
      <w:pPr>
        <w:ind w:left="432" w:hanging="432"/>
      </w:pPr>
      <w:rPr>
        <w:rFonts w:hint="default"/>
      </w:rPr>
    </w:lvl>
    <w:lvl w:ilvl="1" w:tentative="0">
      <w:start w:val="1"/>
      <w:numFmt w:val="decimal"/>
      <w:pStyle w:val="3"/>
      <w:lvlText w:val="%1.%2."/>
      <w:lvlJc w:val="left"/>
      <w:pPr>
        <w:ind w:left="575" w:hanging="575"/>
      </w:pPr>
      <w:rPr>
        <w:rFonts w:hint="default"/>
      </w:rPr>
    </w:lvl>
    <w:lvl w:ilvl="2" w:tentative="0">
      <w:start w:val="1"/>
      <w:numFmt w:val="decimal"/>
      <w:pStyle w:val="4"/>
      <w:lvlText w:val="%1.%2.%3."/>
      <w:lvlJc w:val="left"/>
      <w:pPr>
        <w:ind w:left="720" w:hanging="720"/>
      </w:pPr>
      <w:rPr>
        <w:rFonts w:hint="default"/>
      </w:rPr>
    </w:lvl>
    <w:lvl w:ilvl="3" w:tentative="0">
      <w:start w:val="1"/>
      <w:numFmt w:val="decimal"/>
      <w:pStyle w:val="5"/>
      <w:lvlText w:val="%1.%2.%3.%4."/>
      <w:lvlJc w:val="left"/>
      <w:pPr>
        <w:ind w:left="864" w:hanging="864"/>
      </w:pPr>
      <w:rPr>
        <w:rFonts w:hint="default"/>
      </w:rPr>
    </w:lvl>
    <w:lvl w:ilvl="4" w:tentative="0">
      <w:start w:val="1"/>
      <w:numFmt w:val="decimal"/>
      <w:pStyle w:val="6"/>
      <w:lvlText w:val="%1.%2.%3.%4.%5."/>
      <w:lvlJc w:val="left"/>
      <w:pPr>
        <w:ind w:left="1008" w:hanging="1008"/>
      </w:pPr>
      <w:rPr>
        <w:rFonts w:hint="default"/>
      </w:rPr>
    </w:lvl>
    <w:lvl w:ilvl="5" w:tentative="0">
      <w:start w:val="1"/>
      <w:numFmt w:val="decimal"/>
      <w:pStyle w:val="7"/>
      <w:lvlText w:val="%1.%2.%3.%4.%5.%6."/>
      <w:lvlJc w:val="left"/>
      <w:pPr>
        <w:ind w:left="1151" w:hanging="1151"/>
      </w:pPr>
      <w:rPr>
        <w:rFonts w:hint="default"/>
      </w:rPr>
    </w:lvl>
    <w:lvl w:ilvl="6" w:tentative="0">
      <w:start w:val="1"/>
      <w:numFmt w:val="decimal"/>
      <w:pStyle w:val="8"/>
      <w:lvlText w:val="%1.%2.%3.%4.%5.%6.%7."/>
      <w:lvlJc w:val="left"/>
      <w:pPr>
        <w:ind w:left="1296" w:hanging="1296"/>
      </w:pPr>
      <w:rPr>
        <w:rFonts w:hint="default"/>
      </w:rPr>
    </w:lvl>
    <w:lvl w:ilvl="7" w:tentative="0">
      <w:start w:val="1"/>
      <w:numFmt w:val="decimal"/>
      <w:pStyle w:val="9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pStyle w:val="10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5">
    <w:nsid w:val="673441F7"/>
    <w:multiLevelType w:val="singleLevel"/>
    <w:tmpl w:val="673441F7"/>
    <w:lvl w:ilvl="0" w:tentative="0">
      <w:start w:val="3"/>
      <w:numFmt w:val="decimal"/>
      <w:suff w:val="nothing"/>
      <w:lvlText w:val="%1）"/>
      <w:lvlJc w:val="left"/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5"/>
  </w:num>
  <w:num w:numId="5">
    <w:abstractNumId w:val="3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A3A2389"/>
    <w:rsid w:val="002B6923"/>
    <w:rsid w:val="0058523E"/>
    <w:rsid w:val="00B71F65"/>
    <w:rsid w:val="00C11035"/>
    <w:rsid w:val="00C6664C"/>
    <w:rsid w:val="00E15234"/>
    <w:rsid w:val="00FE7B94"/>
    <w:rsid w:val="019329D2"/>
    <w:rsid w:val="01C626F2"/>
    <w:rsid w:val="01DB1C83"/>
    <w:rsid w:val="029A38EC"/>
    <w:rsid w:val="02AB5AF9"/>
    <w:rsid w:val="02C32E43"/>
    <w:rsid w:val="02E42DB9"/>
    <w:rsid w:val="02EB05EB"/>
    <w:rsid w:val="031C69F7"/>
    <w:rsid w:val="03C055D4"/>
    <w:rsid w:val="03D56A09"/>
    <w:rsid w:val="04455AD9"/>
    <w:rsid w:val="04A46CA4"/>
    <w:rsid w:val="04AE367F"/>
    <w:rsid w:val="04D07A99"/>
    <w:rsid w:val="05545FD4"/>
    <w:rsid w:val="055B3806"/>
    <w:rsid w:val="059C5BCD"/>
    <w:rsid w:val="068723D9"/>
    <w:rsid w:val="06FF01C2"/>
    <w:rsid w:val="073F0F06"/>
    <w:rsid w:val="07487DBA"/>
    <w:rsid w:val="075A189C"/>
    <w:rsid w:val="07AA2823"/>
    <w:rsid w:val="07CF5DE6"/>
    <w:rsid w:val="07F341CA"/>
    <w:rsid w:val="08381BDD"/>
    <w:rsid w:val="089B03BE"/>
    <w:rsid w:val="08CE609D"/>
    <w:rsid w:val="09153CCC"/>
    <w:rsid w:val="095C18FB"/>
    <w:rsid w:val="09B603FC"/>
    <w:rsid w:val="09FC6C3A"/>
    <w:rsid w:val="0A764C3F"/>
    <w:rsid w:val="0A982E07"/>
    <w:rsid w:val="0ABF65E6"/>
    <w:rsid w:val="0AE55920"/>
    <w:rsid w:val="0B136931"/>
    <w:rsid w:val="0B3532C7"/>
    <w:rsid w:val="0B3C7C36"/>
    <w:rsid w:val="0B5A4560"/>
    <w:rsid w:val="0B670BE4"/>
    <w:rsid w:val="0B73117E"/>
    <w:rsid w:val="0B8E420A"/>
    <w:rsid w:val="0C395673"/>
    <w:rsid w:val="0C4C0F18"/>
    <w:rsid w:val="0C662A91"/>
    <w:rsid w:val="0C760F26"/>
    <w:rsid w:val="0CDB522D"/>
    <w:rsid w:val="0D735465"/>
    <w:rsid w:val="0DE545B5"/>
    <w:rsid w:val="0E4A4418"/>
    <w:rsid w:val="0F5A68DD"/>
    <w:rsid w:val="0F7756E1"/>
    <w:rsid w:val="0F7B4AA5"/>
    <w:rsid w:val="0F865924"/>
    <w:rsid w:val="10AC13BA"/>
    <w:rsid w:val="10EC7A09"/>
    <w:rsid w:val="11034D52"/>
    <w:rsid w:val="11056D1C"/>
    <w:rsid w:val="113E7AD2"/>
    <w:rsid w:val="119C142F"/>
    <w:rsid w:val="11F528ED"/>
    <w:rsid w:val="121C431D"/>
    <w:rsid w:val="122E4051"/>
    <w:rsid w:val="12C7072D"/>
    <w:rsid w:val="13166FBF"/>
    <w:rsid w:val="134C0C32"/>
    <w:rsid w:val="13655850"/>
    <w:rsid w:val="14C34F24"/>
    <w:rsid w:val="14E07884"/>
    <w:rsid w:val="14E82BDD"/>
    <w:rsid w:val="150F1F18"/>
    <w:rsid w:val="152A6D51"/>
    <w:rsid w:val="155913E5"/>
    <w:rsid w:val="15EE7D7F"/>
    <w:rsid w:val="15F64E85"/>
    <w:rsid w:val="16111CBF"/>
    <w:rsid w:val="165A3666"/>
    <w:rsid w:val="174D6D27"/>
    <w:rsid w:val="17BD3EAD"/>
    <w:rsid w:val="17BE19D3"/>
    <w:rsid w:val="17DE3E23"/>
    <w:rsid w:val="18714C97"/>
    <w:rsid w:val="18730A0F"/>
    <w:rsid w:val="18820C52"/>
    <w:rsid w:val="19FF69FF"/>
    <w:rsid w:val="1A0256C7"/>
    <w:rsid w:val="1A0F4768"/>
    <w:rsid w:val="1A3A2389"/>
    <w:rsid w:val="1A3B730B"/>
    <w:rsid w:val="1A750A6F"/>
    <w:rsid w:val="1AC92B69"/>
    <w:rsid w:val="1ACB4B33"/>
    <w:rsid w:val="1B041DF3"/>
    <w:rsid w:val="1BA55384"/>
    <w:rsid w:val="1BB2184F"/>
    <w:rsid w:val="1BC25F36"/>
    <w:rsid w:val="1BF607AC"/>
    <w:rsid w:val="1BFE4A94"/>
    <w:rsid w:val="1C0E7EC3"/>
    <w:rsid w:val="1C27223D"/>
    <w:rsid w:val="1CF10155"/>
    <w:rsid w:val="1D1F2F14"/>
    <w:rsid w:val="1D632E00"/>
    <w:rsid w:val="1D8B2357"/>
    <w:rsid w:val="1DAB29F9"/>
    <w:rsid w:val="1DBA49EB"/>
    <w:rsid w:val="1E876FC3"/>
    <w:rsid w:val="1EE77A61"/>
    <w:rsid w:val="1F5D41BA"/>
    <w:rsid w:val="1F8452B0"/>
    <w:rsid w:val="20230F6D"/>
    <w:rsid w:val="202A5E57"/>
    <w:rsid w:val="20360CA0"/>
    <w:rsid w:val="20436F19"/>
    <w:rsid w:val="205E1FA5"/>
    <w:rsid w:val="206B36E8"/>
    <w:rsid w:val="20A35C0A"/>
    <w:rsid w:val="20FA1CCE"/>
    <w:rsid w:val="215A09BE"/>
    <w:rsid w:val="21AA36F4"/>
    <w:rsid w:val="21DA38AD"/>
    <w:rsid w:val="223B434C"/>
    <w:rsid w:val="22673393"/>
    <w:rsid w:val="22851A6B"/>
    <w:rsid w:val="22B3482A"/>
    <w:rsid w:val="23515DF1"/>
    <w:rsid w:val="236D2C2B"/>
    <w:rsid w:val="23A203FB"/>
    <w:rsid w:val="23C15745"/>
    <w:rsid w:val="24174945"/>
    <w:rsid w:val="24390D5F"/>
    <w:rsid w:val="24AF4B7D"/>
    <w:rsid w:val="24EC7B7F"/>
    <w:rsid w:val="25457290"/>
    <w:rsid w:val="256C2A6E"/>
    <w:rsid w:val="2580651A"/>
    <w:rsid w:val="25910727"/>
    <w:rsid w:val="259F3E4E"/>
    <w:rsid w:val="25BF34E6"/>
    <w:rsid w:val="26192BF6"/>
    <w:rsid w:val="271E423C"/>
    <w:rsid w:val="279E2283"/>
    <w:rsid w:val="27AC7A9A"/>
    <w:rsid w:val="27F05BD9"/>
    <w:rsid w:val="281F201A"/>
    <w:rsid w:val="282C52C9"/>
    <w:rsid w:val="28333D17"/>
    <w:rsid w:val="28FC52BC"/>
    <w:rsid w:val="29714AF7"/>
    <w:rsid w:val="298F1421"/>
    <w:rsid w:val="29D62BAC"/>
    <w:rsid w:val="2A1738F0"/>
    <w:rsid w:val="2A3A313B"/>
    <w:rsid w:val="2AE5754B"/>
    <w:rsid w:val="2B287437"/>
    <w:rsid w:val="2BF57C61"/>
    <w:rsid w:val="2C5C1A8E"/>
    <w:rsid w:val="2C7C7A3B"/>
    <w:rsid w:val="2C842D93"/>
    <w:rsid w:val="2C972AC7"/>
    <w:rsid w:val="2CC47634"/>
    <w:rsid w:val="2D3E2F42"/>
    <w:rsid w:val="2D6B0926"/>
    <w:rsid w:val="2D713318"/>
    <w:rsid w:val="2D8C1F00"/>
    <w:rsid w:val="2E0C1292"/>
    <w:rsid w:val="2E5A0250"/>
    <w:rsid w:val="2E8250B1"/>
    <w:rsid w:val="2E953036"/>
    <w:rsid w:val="2EA901B0"/>
    <w:rsid w:val="2EFA10EB"/>
    <w:rsid w:val="2F5C3B54"/>
    <w:rsid w:val="2FC17E5A"/>
    <w:rsid w:val="3011493E"/>
    <w:rsid w:val="31BC6B2B"/>
    <w:rsid w:val="32470AEB"/>
    <w:rsid w:val="329553D0"/>
    <w:rsid w:val="3333106F"/>
    <w:rsid w:val="334B0167"/>
    <w:rsid w:val="339F04B3"/>
    <w:rsid w:val="34880F47"/>
    <w:rsid w:val="34AA5361"/>
    <w:rsid w:val="34B61F58"/>
    <w:rsid w:val="34FA62E8"/>
    <w:rsid w:val="35071D38"/>
    <w:rsid w:val="35334787"/>
    <w:rsid w:val="35496928"/>
    <w:rsid w:val="35551771"/>
    <w:rsid w:val="35F20D6E"/>
    <w:rsid w:val="366B28CE"/>
    <w:rsid w:val="36794FEB"/>
    <w:rsid w:val="377F4883"/>
    <w:rsid w:val="380354B4"/>
    <w:rsid w:val="383C2774"/>
    <w:rsid w:val="38BD38B5"/>
    <w:rsid w:val="395F496C"/>
    <w:rsid w:val="397B107A"/>
    <w:rsid w:val="39BC3B6C"/>
    <w:rsid w:val="39C20ECF"/>
    <w:rsid w:val="3A43603C"/>
    <w:rsid w:val="3A4B3142"/>
    <w:rsid w:val="3A663AD8"/>
    <w:rsid w:val="3A742699"/>
    <w:rsid w:val="3AF235BE"/>
    <w:rsid w:val="3C074E47"/>
    <w:rsid w:val="3C4D13F4"/>
    <w:rsid w:val="3C687FDC"/>
    <w:rsid w:val="3D31661F"/>
    <w:rsid w:val="3D346110"/>
    <w:rsid w:val="3D4A148F"/>
    <w:rsid w:val="3D801355"/>
    <w:rsid w:val="3DA54918"/>
    <w:rsid w:val="3DA94408"/>
    <w:rsid w:val="3DE713D4"/>
    <w:rsid w:val="3EE55913"/>
    <w:rsid w:val="3F5E56C6"/>
    <w:rsid w:val="40322DDA"/>
    <w:rsid w:val="4044666A"/>
    <w:rsid w:val="409A272E"/>
    <w:rsid w:val="40D43E92"/>
    <w:rsid w:val="410F0A26"/>
    <w:rsid w:val="412C782A"/>
    <w:rsid w:val="41D35EF7"/>
    <w:rsid w:val="41E719A3"/>
    <w:rsid w:val="421877CE"/>
    <w:rsid w:val="42A861D3"/>
    <w:rsid w:val="42AC04F6"/>
    <w:rsid w:val="42B555FD"/>
    <w:rsid w:val="434C41B3"/>
    <w:rsid w:val="436C6603"/>
    <w:rsid w:val="43E30E9C"/>
    <w:rsid w:val="440A7BCA"/>
    <w:rsid w:val="44DA134B"/>
    <w:rsid w:val="44F87A23"/>
    <w:rsid w:val="45294080"/>
    <w:rsid w:val="45723C79"/>
    <w:rsid w:val="458B0897"/>
    <w:rsid w:val="45F06817"/>
    <w:rsid w:val="461B3B13"/>
    <w:rsid w:val="469B2D5C"/>
    <w:rsid w:val="46E666CD"/>
    <w:rsid w:val="47152B0E"/>
    <w:rsid w:val="472D60AA"/>
    <w:rsid w:val="47705F96"/>
    <w:rsid w:val="479003E6"/>
    <w:rsid w:val="479C322F"/>
    <w:rsid w:val="47D227AD"/>
    <w:rsid w:val="47DB3D58"/>
    <w:rsid w:val="47E524E0"/>
    <w:rsid w:val="485633DE"/>
    <w:rsid w:val="487321E2"/>
    <w:rsid w:val="48904B42"/>
    <w:rsid w:val="48C04CFB"/>
    <w:rsid w:val="48E1539E"/>
    <w:rsid w:val="48F7696F"/>
    <w:rsid w:val="4944592C"/>
    <w:rsid w:val="49B605D8"/>
    <w:rsid w:val="4A064990"/>
    <w:rsid w:val="4A111CB3"/>
    <w:rsid w:val="4AC565F9"/>
    <w:rsid w:val="4AF07B1A"/>
    <w:rsid w:val="4AF33166"/>
    <w:rsid w:val="4B3F0159"/>
    <w:rsid w:val="4BF90C50"/>
    <w:rsid w:val="4C433C79"/>
    <w:rsid w:val="4C523EBC"/>
    <w:rsid w:val="4CC76658"/>
    <w:rsid w:val="4CCE3E8B"/>
    <w:rsid w:val="4CD356E0"/>
    <w:rsid w:val="4D122168"/>
    <w:rsid w:val="4D1D44CA"/>
    <w:rsid w:val="4D2C6E03"/>
    <w:rsid w:val="4E0B4C6B"/>
    <w:rsid w:val="4E597784"/>
    <w:rsid w:val="4EDE7C89"/>
    <w:rsid w:val="4F90786D"/>
    <w:rsid w:val="4FBF5D0D"/>
    <w:rsid w:val="50B05655"/>
    <w:rsid w:val="50CA2BBB"/>
    <w:rsid w:val="50F33EC0"/>
    <w:rsid w:val="51134562"/>
    <w:rsid w:val="51581F75"/>
    <w:rsid w:val="51DA0BDC"/>
    <w:rsid w:val="51EC090F"/>
    <w:rsid w:val="51FF0643"/>
    <w:rsid w:val="522D3402"/>
    <w:rsid w:val="527E3C5D"/>
    <w:rsid w:val="52FE6B4C"/>
    <w:rsid w:val="530E3233"/>
    <w:rsid w:val="532A5B93"/>
    <w:rsid w:val="53310CD0"/>
    <w:rsid w:val="53740BBC"/>
    <w:rsid w:val="53AA2830"/>
    <w:rsid w:val="547F3CBD"/>
    <w:rsid w:val="54B25E40"/>
    <w:rsid w:val="5523289A"/>
    <w:rsid w:val="556E620B"/>
    <w:rsid w:val="55B160F8"/>
    <w:rsid w:val="55C53951"/>
    <w:rsid w:val="566A2E0C"/>
    <w:rsid w:val="56F42740"/>
    <w:rsid w:val="57C540DC"/>
    <w:rsid w:val="588875E4"/>
    <w:rsid w:val="58B101BD"/>
    <w:rsid w:val="590F1AB3"/>
    <w:rsid w:val="59657925"/>
    <w:rsid w:val="59CD7278"/>
    <w:rsid w:val="59DD74BB"/>
    <w:rsid w:val="59E27611"/>
    <w:rsid w:val="5A6B2D19"/>
    <w:rsid w:val="5A733572"/>
    <w:rsid w:val="5A987886"/>
    <w:rsid w:val="5AF42587"/>
    <w:rsid w:val="5BB66216"/>
    <w:rsid w:val="5C1D44E7"/>
    <w:rsid w:val="5C71038F"/>
    <w:rsid w:val="5C7560D1"/>
    <w:rsid w:val="5C9C18B0"/>
    <w:rsid w:val="5CBB785C"/>
    <w:rsid w:val="5CE62B2B"/>
    <w:rsid w:val="5D086F45"/>
    <w:rsid w:val="5D6F2B20"/>
    <w:rsid w:val="5D881E34"/>
    <w:rsid w:val="5DAB78D0"/>
    <w:rsid w:val="5DC664B8"/>
    <w:rsid w:val="5E0771FD"/>
    <w:rsid w:val="5E1B2CA8"/>
    <w:rsid w:val="5E2F405E"/>
    <w:rsid w:val="5E4F64AE"/>
    <w:rsid w:val="5EFC4888"/>
    <w:rsid w:val="5F113078"/>
    <w:rsid w:val="5F13397F"/>
    <w:rsid w:val="5F7F2DC3"/>
    <w:rsid w:val="60591866"/>
    <w:rsid w:val="60624BBE"/>
    <w:rsid w:val="61300818"/>
    <w:rsid w:val="61736957"/>
    <w:rsid w:val="61A94127"/>
    <w:rsid w:val="61BD7BD2"/>
    <w:rsid w:val="61DA69D6"/>
    <w:rsid w:val="61F71336"/>
    <w:rsid w:val="62157A0E"/>
    <w:rsid w:val="62404A8B"/>
    <w:rsid w:val="62775FD3"/>
    <w:rsid w:val="627C183B"/>
    <w:rsid w:val="628C1A7E"/>
    <w:rsid w:val="62FB09B2"/>
    <w:rsid w:val="63620A31"/>
    <w:rsid w:val="637C7D45"/>
    <w:rsid w:val="646D1D84"/>
    <w:rsid w:val="64744EC0"/>
    <w:rsid w:val="649B244D"/>
    <w:rsid w:val="64D911C7"/>
    <w:rsid w:val="65D04378"/>
    <w:rsid w:val="65E322FD"/>
    <w:rsid w:val="660109D5"/>
    <w:rsid w:val="665E3732"/>
    <w:rsid w:val="66AE7F8C"/>
    <w:rsid w:val="66D71736"/>
    <w:rsid w:val="670F7122"/>
    <w:rsid w:val="67BF46A4"/>
    <w:rsid w:val="67D257C2"/>
    <w:rsid w:val="67DD2D7C"/>
    <w:rsid w:val="67DF08A2"/>
    <w:rsid w:val="68F4037D"/>
    <w:rsid w:val="69020CEC"/>
    <w:rsid w:val="69594684"/>
    <w:rsid w:val="698C2CAC"/>
    <w:rsid w:val="699102C2"/>
    <w:rsid w:val="69BD4C13"/>
    <w:rsid w:val="69EE74C3"/>
    <w:rsid w:val="6A2C1D99"/>
    <w:rsid w:val="6A464C09"/>
    <w:rsid w:val="6A484E25"/>
    <w:rsid w:val="6A835E5D"/>
    <w:rsid w:val="6AE306AA"/>
    <w:rsid w:val="6AF24D91"/>
    <w:rsid w:val="6B5670CE"/>
    <w:rsid w:val="6BA442DD"/>
    <w:rsid w:val="6C7A6DEC"/>
    <w:rsid w:val="6CF21078"/>
    <w:rsid w:val="6DB602F7"/>
    <w:rsid w:val="6DE035C6"/>
    <w:rsid w:val="6DE73CDD"/>
    <w:rsid w:val="6E096679"/>
    <w:rsid w:val="6E3C08A1"/>
    <w:rsid w:val="6EAE5472"/>
    <w:rsid w:val="6EFD5AB2"/>
    <w:rsid w:val="6F35524C"/>
    <w:rsid w:val="6F4B4A6F"/>
    <w:rsid w:val="6F4D6A39"/>
    <w:rsid w:val="708C3591"/>
    <w:rsid w:val="70952446"/>
    <w:rsid w:val="70E94540"/>
    <w:rsid w:val="71241A1C"/>
    <w:rsid w:val="712437CA"/>
    <w:rsid w:val="71257C6E"/>
    <w:rsid w:val="715E0A8A"/>
    <w:rsid w:val="716D5171"/>
    <w:rsid w:val="71C54FAD"/>
    <w:rsid w:val="71E371E1"/>
    <w:rsid w:val="72F62F44"/>
    <w:rsid w:val="73245D03"/>
    <w:rsid w:val="734343DB"/>
    <w:rsid w:val="73893DB8"/>
    <w:rsid w:val="73C31078"/>
    <w:rsid w:val="740A314B"/>
    <w:rsid w:val="74A54C22"/>
    <w:rsid w:val="74D84FF7"/>
    <w:rsid w:val="74E41BEE"/>
    <w:rsid w:val="74EE0377"/>
    <w:rsid w:val="75093403"/>
    <w:rsid w:val="750A2CD7"/>
    <w:rsid w:val="75556648"/>
    <w:rsid w:val="756646FB"/>
    <w:rsid w:val="758B3E18"/>
    <w:rsid w:val="75B96BD7"/>
    <w:rsid w:val="75E35A02"/>
    <w:rsid w:val="76120095"/>
    <w:rsid w:val="769F1D04"/>
    <w:rsid w:val="76BB697E"/>
    <w:rsid w:val="77543075"/>
    <w:rsid w:val="775D7A36"/>
    <w:rsid w:val="77664B3C"/>
    <w:rsid w:val="77B43AFA"/>
    <w:rsid w:val="77C17FC5"/>
    <w:rsid w:val="77F9775E"/>
    <w:rsid w:val="78370287"/>
    <w:rsid w:val="7860158C"/>
    <w:rsid w:val="7883527A"/>
    <w:rsid w:val="78930456"/>
    <w:rsid w:val="78A0407E"/>
    <w:rsid w:val="78BE0922"/>
    <w:rsid w:val="79132AA2"/>
    <w:rsid w:val="793A002E"/>
    <w:rsid w:val="79F77CCE"/>
    <w:rsid w:val="7A122D59"/>
    <w:rsid w:val="7A146AD1"/>
    <w:rsid w:val="7A1E34AC"/>
    <w:rsid w:val="7AC73B44"/>
    <w:rsid w:val="7B2368A0"/>
    <w:rsid w:val="7BAE6AB2"/>
    <w:rsid w:val="7BFC5A6F"/>
    <w:rsid w:val="7C5807CC"/>
    <w:rsid w:val="7C773348"/>
    <w:rsid w:val="7CDE0446"/>
    <w:rsid w:val="7D0D7808"/>
    <w:rsid w:val="7DFA5FDE"/>
    <w:rsid w:val="7E77762F"/>
    <w:rsid w:val="7E8A7362"/>
    <w:rsid w:val="7E9755DB"/>
    <w:rsid w:val="7EB73ECF"/>
    <w:rsid w:val="7F594F87"/>
    <w:rsid w:val="7F6000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9" w:semiHidden="0" w:name="heading 1"/>
    <w:lsdException w:qFormat="1" w:unhideWhenUsed="0" w:uiPriority="99" w:semiHidden="0" w:name="heading 2"/>
    <w:lsdException w:qFormat="1" w:unhideWhenUsed="0" w:uiPriority="99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nhideWhenUsed="0" w:uiPriority="99" w:semiHidden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99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keepNext w:val="0"/>
      <w:keepLines w:val="0"/>
      <w:pageBreakBefore w:val="0"/>
      <w:widowControl w:val="0"/>
      <w:kinsoku/>
      <w:wordWrap/>
      <w:overflowPunct/>
      <w:topLinePunct w:val="0"/>
      <w:autoSpaceDE/>
      <w:autoSpaceDN/>
      <w:bidi w:val="0"/>
      <w:adjustRightInd/>
      <w:snapToGrid/>
      <w:spacing w:line="240" w:lineRule="auto"/>
      <w:ind w:firstLine="420" w:firstLineChars="0"/>
      <w:jc w:val="both"/>
      <w:textAlignment w:val="auto"/>
    </w:pPr>
    <w:rPr>
      <w:rFonts w:ascii="Times New Roman" w:hAnsi="Times New Roman" w:eastAsia="宋体" w:cs="Times New Roman"/>
      <w:kern w:val="2"/>
      <w:sz w:val="21"/>
      <w:szCs w:val="21"/>
      <w:lang w:val="en-US" w:eastAsia="zh-CN" w:bidi="ar-SA"/>
    </w:rPr>
  </w:style>
  <w:style w:type="paragraph" w:styleId="2">
    <w:name w:val="heading 1"/>
    <w:basedOn w:val="1"/>
    <w:next w:val="1"/>
    <w:qFormat/>
    <w:uiPriority w:val="99"/>
    <w:pPr>
      <w:keepNext/>
      <w:keepLines/>
      <w:numPr>
        <w:ilvl w:val="0"/>
        <w:numId w:val="1"/>
      </w:numPr>
      <w:tabs>
        <w:tab w:val="left" w:pos="432"/>
      </w:tabs>
      <w:spacing w:before="120" w:after="120"/>
      <w:outlineLvl w:val="0"/>
    </w:pPr>
    <w:rPr>
      <w:b/>
      <w:bCs/>
      <w:kern w:val="44"/>
      <w:sz w:val="32"/>
      <w:szCs w:val="44"/>
    </w:rPr>
  </w:style>
  <w:style w:type="paragraph" w:styleId="3">
    <w:name w:val="heading 2"/>
    <w:basedOn w:val="1"/>
    <w:next w:val="1"/>
    <w:qFormat/>
    <w:uiPriority w:val="99"/>
    <w:pPr>
      <w:keepNext/>
      <w:keepLines/>
      <w:numPr>
        <w:ilvl w:val="1"/>
        <w:numId w:val="1"/>
      </w:numPr>
      <w:tabs>
        <w:tab w:val="left" w:pos="576"/>
      </w:tabs>
      <w:spacing w:before="260" w:after="260"/>
      <w:ind w:left="575" w:hanging="575"/>
      <w:outlineLvl w:val="1"/>
    </w:pPr>
    <w:rPr>
      <w:rFonts w:ascii="Arial" w:hAnsi="Arial"/>
      <w:b/>
      <w:bCs/>
      <w:sz w:val="30"/>
      <w:szCs w:val="32"/>
    </w:rPr>
  </w:style>
  <w:style w:type="paragraph" w:styleId="4">
    <w:name w:val="heading 3"/>
    <w:basedOn w:val="1"/>
    <w:next w:val="1"/>
    <w:qFormat/>
    <w:uiPriority w:val="99"/>
    <w:pPr>
      <w:keepNext/>
      <w:keepLines/>
      <w:numPr>
        <w:ilvl w:val="2"/>
        <w:numId w:val="1"/>
      </w:numPr>
      <w:tabs>
        <w:tab w:val="left" w:pos="720"/>
      </w:tabs>
      <w:spacing w:before="260" w:after="260" w:line="413" w:lineRule="auto"/>
      <w:outlineLvl w:val="2"/>
    </w:pPr>
    <w:rPr>
      <w:b/>
      <w:bCs/>
      <w:sz w:val="28"/>
      <w:szCs w:val="32"/>
    </w:rPr>
  </w:style>
  <w:style w:type="paragraph" w:styleId="5">
    <w:name w:val="heading 4"/>
    <w:basedOn w:val="1"/>
    <w:next w:val="1"/>
    <w:unhideWhenUsed/>
    <w:qFormat/>
    <w:uiPriority w:val="0"/>
    <w:pPr>
      <w:keepNext/>
      <w:keepLines/>
      <w:numPr>
        <w:ilvl w:val="3"/>
        <w:numId w:val="1"/>
      </w:numPr>
      <w:spacing w:before="280" w:beforeLines="0" w:beforeAutospacing="0" w:after="290" w:afterLines="0" w:afterAutospacing="0" w:line="372" w:lineRule="auto"/>
      <w:ind w:left="864" w:hanging="864"/>
      <w:outlineLvl w:val="3"/>
    </w:pPr>
    <w:rPr>
      <w:rFonts w:ascii="Arial" w:hAnsi="Arial" w:eastAsia="黑体"/>
      <w:b/>
      <w:sz w:val="24"/>
    </w:rPr>
  </w:style>
  <w:style w:type="paragraph" w:styleId="6">
    <w:name w:val="heading 5"/>
    <w:basedOn w:val="1"/>
    <w:next w:val="1"/>
    <w:semiHidden/>
    <w:unhideWhenUsed/>
    <w:qFormat/>
    <w:uiPriority w:val="0"/>
    <w:pPr>
      <w:keepNext/>
      <w:keepLines/>
      <w:numPr>
        <w:ilvl w:val="4"/>
        <w:numId w:val="1"/>
      </w:numPr>
      <w:spacing w:before="280" w:beforeLines="0" w:beforeAutospacing="0" w:after="290" w:afterLines="0" w:afterAutospacing="0" w:line="372" w:lineRule="auto"/>
      <w:ind w:left="1008" w:hanging="1008"/>
      <w:outlineLvl w:val="4"/>
    </w:pPr>
    <w:rPr>
      <w:b/>
      <w:sz w:val="28"/>
    </w:rPr>
  </w:style>
  <w:style w:type="paragraph" w:styleId="7">
    <w:name w:val="heading 6"/>
    <w:basedOn w:val="1"/>
    <w:next w:val="1"/>
    <w:semiHidden/>
    <w:unhideWhenUsed/>
    <w:qFormat/>
    <w:uiPriority w:val="0"/>
    <w:pPr>
      <w:keepNext/>
      <w:keepLines/>
      <w:numPr>
        <w:ilvl w:val="5"/>
        <w:numId w:val="1"/>
      </w:numPr>
      <w:spacing w:before="240" w:beforeLines="0" w:beforeAutospacing="0" w:after="64" w:afterLines="0" w:afterAutospacing="0" w:line="317" w:lineRule="auto"/>
      <w:ind w:left="1151" w:hanging="1151"/>
      <w:outlineLvl w:val="5"/>
    </w:pPr>
    <w:rPr>
      <w:rFonts w:ascii="Arial" w:hAnsi="Arial" w:eastAsia="黑体"/>
      <w:b/>
      <w:sz w:val="24"/>
    </w:rPr>
  </w:style>
  <w:style w:type="paragraph" w:styleId="8">
    <w:name w:val="heading 7"/>
    <w:basedOn w:val="1"/>
    <w:next w:val="1"/>
    <w:semiHidden/>
    <w:unhideWhenUsed/>
    <w:qFormat/>
    <w:uiPriority w:val="0"/>
    <w:pPr>
      <w:keepNext/>
      <w:keepLines/>
      <w:numPr>
        <w:ilvl w:val="6"/>
        <w:numId w:val="1"/>
      </w:numPr>
      <w:spacing w:before="240" w:beforeLines="0" w:beforeAutospacing="0" w:after="64" w:afterLines="0" w:afterAutospacing="0" w:line="317" w:lineRule="auto"/>
      <w:ind w:left="1296" w:hanging="1296"/>
      <w:outlineLvl w:val="6"/>
    </w:pPr>
    <w:rPr>
      <w:b/>
      <w:sz w:val="24"/>
    </w:rPr>
  </w:style>
  <w:style w:type="paragraph" w:styleId="9">
    <w:name w:val="heading 8"/>
    <w:basedOn w:val="1"/>
    <w:next w:val="1"/>
    <w:semiHidden/>
    <w:unhideWhenUsed/>
    <w:qFormat/>
    <w:uiPriority w:val="0"/>
    <w:pPr>
      <w:keepNext/>
      <w:keepLines/>
      <w:numPr>
        <w:ilvl w:val="7"/>
        <w:numId w:val="1"/>
      </w:numPr>
      <w:spacing w:before="240" w:beforeLines="0" w:beforeAutospacing="0" w:after="64" w:afterLines="0" w:afterAutospacing="0" w:line="317" w:lineRule="auto"/>
      <w:ind w:left="1440" w:hanging="1440"/>
      <w:outlineLvl w:val="7"/>
    </w:pPr>
    <w:rPr>
      <w:rFonts w:ascii="Arial" w:hAnsi="Arial" w:eastAsia="黑体"/>
      <w:sz w:val="24"/>
    </w:rPr>
  </w:style>
  <w:style w:type="paragraph" w:styleId="10">
    <w:name w:val="heading 9"/>
    <w:basedOn w:val="1"/>
    <w:next w:val="1"/>
    <w:semiHidden/>
    <w:unhideWhenUsed/>
    <w:qFormat/>
    <w:uiPriority w:val="0"/>
    <w:pPr>
      <w:keepNext/>
      <w:keepLines/>
      <w:numPr>
        <w:ilvl w:val="8"/>
        <w:numId w:val="1"/>
      </w:numPr>
      <w:spacing w:before="240" w:beforeLines="0" w:beforeAutospacing="0" w:after="64" w:afterLines="0" w:afterAutospacing="0" w:line="317" w:lineRule="auto"/>
      <w:ind w:left="1583" w:hanging="1583"/>
      <w:outlineLvl w:val="8"/>
    </w:pPr>
    <w:rPr>
      <w:rFonts w:ascii="Arial" w:hAnsi="Arial" w:eastAsia="黑体"/>
      <w:sz w:val="21"/>
    </w:rPr>
  </w:style>
  <w:style w:type="character" w:default="1" w:styleId="17">
    <w:name w:val="Default Paragraph Font"/>
    <w:semiHidden/>
    <w:qFormat/>
    <w:uiPriority w:val="0"/>
  </w:style>
  <w:style w:type="table" w:default="1" w:styleId="1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caption"/>
    <w:basedOn w:val="1"/>
    <w:next w:val="1"/>
    <w:qFormat/>
    <w:uiPriority w:val="99"/>
    <w:pPr>
      <w:jc w:val="center"/>
    </w:pPr>
    <w:rPr>
      <w:rFonts w:ascii="Arial" w:hAnsi="Arial" w:cs="Arial"/>
      <w:sz w:val="18"/>
      <w:szCs w:val="20"/>
    </w:rPr>
  </w:style>
  <w:style w:type="paragraph" w:styleId="12">
    <w:name w:val="Body Text"/>
    <w:basedOn w:val="1"/>
    <w:qFormat/>
    <w:uiPriority w:val="99"/>
    <w:rPr>
      <w:szCs w:val="20"/>
    </w:rPr>
  </w:style>
  <w:style w:type="paragraph" w:styleId="13">
    <w:name w:val="toc 1"/>
    <w:basedOn w:val="1"/>
    <w:next w:val="1"/>
    <w:qFormat/>
    <w:uiPriority w:val="0"/>
  </w:style>
  <w:style w:type="paragraph" w:styleId="14">
    <w:name w:val="toc 2"/>
    <w:basedOn w:val="1"/>
    <w:next w:val="1"/>
    <w:qFormat/>
    <w:uiPriority w:val="0"/>
    <w:pPr>
      <w:ind w:left="420" w:leftChars="200"/>
    </w:pPr>
  </w:style>
  <w:style w:type="paragraph" w:styleId="15">
    <w:name w:val="Normal (Web)"/>
    <w:basedOn w:val="1"/>
    <w:unhideWhenUsed/>
    <w:qFormat/>
    <w:uiPriority w:val="99"/>
    <w:pPr>
      <w:widowControl/>
      <w:spacing w:before="100" w:beforeAutospacing="1" w:after="100" w:afterAutospacing="1" w:line="240" w:lineRule="auto"/>
      <w:jc w:val="left"/>
    </w:pPr>
    <w:rPr>
      <w:rFonts w:ascii="宋体" w:hAnsi="宋体" w:cs="宋体"/>
      <w:kern w:val="0"/>
    </w:rPr>
  </w:style>
  <w:style w:type="character" w:styleId="18">
    <w:name w:val="Strong"/>
    <w:basedOn w:val="17"/>
    <w:qFormat/>
    <w:uiPriority w:val="22"/>
    <w:rPr>
      <w:b/>
      <w:bCs/>
    </w:rPr>
  </w:style>
  <w:style w:type="paragraph" w:styleId="19">
    <w:name w:val="No Spacing"/>
    <w:qFormat/>
    <w:uiPriority w:val="1"/>
    <w:rPr>
      <w:rFonts w:ascii="Calibri" w:hAnsi="Calibri" w:eastAsia="宋体" w:cs="Times New Roman"/>
      <w:sz w:val="22"/>
      <w:szCs w:val="22"/>
      <w:lang w:val="en-US" w:eastAsia="zh-CN" w:bidi="ar-SA"/>
    </w:rPr>
  </w:style>
  <w:style w:type="paragraph" w:customStyle="1" w:styleId="20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21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2" Type="http://schemas.openxmlformats.org/officeDocument/2006/relationships/fontTable" Target="fontTable.xml"/><Relationship Id="rId71" Type="http://schemas.openxmlformats.org/officeDocument/2006/relationships/numbering" Target="numbering.xml"/><Relationship Id="rId70" Type="http://schemas.openxmlformats.org/officeDocument/2006/relationships/image" Target="media/image65.png"/><Relationship Id="rId7" Type="http://schemas.openxmlformats.org/officeDocument/2006/relationships/image" Target="media/image2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endnotes" Target="endnotes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31</Pages>
  <Words>3967</Words>
  <Characters>4018</Characters>
  <Lines>0</Lines>
  <Paragraphs>0</Paragraphs>
  <TotalTime>0</TotalTime>
  <ScaleCrop>false</ScaleCrop>
  <LinksUpToDate>false</LinksUpToDate>
  <CharactersWithSpaces>4059</CharactersWithSpaces>
  <Application>WPS Office_12.1.0.22483_F1E327BC-269C-435d-A152-05C5408002CA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2025-04-07T10:49:00Z</dcterms:created>
  <dc:creator>慕溪</dc:creator>
  <cp:lastModifiedBy>慕溪</cp:lastModifiedBy>
  <dcterms:modified xsi:type="dcterms:W3CDTF">2025-08-13T09:43:47Z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2052-12.1.0.22483</vt:lpwstr>
  </property>
  <property fmtid="{D5CDD505-2E9C-101B-9397-08002B2CF9AE}" pid="3" name="ICV">
    <vt:lpwstr>6ABEE72D3C6D4E6E81BC247601E338AE_13</vt:lpwstr>
  </property>
  <property fmtid="{D5CDD505-2E9C-101B-9397-08002B2CF9AE}" pid="4" name="KSOTemplateDocerSaveRecord">
    <vt:lpwstr>eyJoZGlkIjoiNWYyODRiODAxNzVmMzYzOWIzNGQwY2VkZTkwNjI3NjgiLCJ1c2VySWQiOiI2MDAxMDQ5NTAifQ==</vt:lpwstr>
  </property>
</Properties>
</file>